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53AD6" w14:textId="77777777" w:rsidR="00FF2B3E" w:rsidRDefault="00FF2B3E" w:rsidP="00FF2B3E">
      <w:pPr>
        <w:spacing w:after="120" w:line="276" w:lineRule="auto"/>
        <w:jc w:val="center"/>
        <w:rPr>
          <w:rFonts w:ascii="Times New Roman" w:hAnsi="Times New Roman" w:cs="Times New Roman"/>
          <w:b/>
          <w:bCs/>
          <w:sz w:val="24"/>
          <w:szCs w:val="24"/>
        </w:rPr>
      </w:pPr>
      <w:r>
        <w:rPr>
          <w:rFonts w:ascii="Times New Roman" w:hAnsi="Times New Roman" w:cs="Times New Roman"/>
          <w:b/>
          <w:bCs/>
          <w:sz w:val="24"/>
          <w:szCs w:val="24"/>
        </w:rPr>
        <w:t>ZESTAWIENIE NIEUWZGLĘDNIONYCH UWAG ZGŁOSZONYCH W RAMACH OPINIOWANIA</w:t>
      </w:r>
    </w:p>
    <w:p w14:paraId="03BE8234" w14:textId="77777777" w:rsidR="00FF2B3E" w:rsidRDefault="00FF2B3E" w:rsidP="00FF2B3E">
      <w:pPr>
        <w:spacing w:after="0" w:line="276" w:lineRule="auto"/>
        <w:jc w:val="center"/>
        <w:rPr>
          <w:rFonts w:ascii="Times New Roman" w:hAnsi="Times New Roman" w:cs="Times New Roman"/>
          <w:sz w:val="24"/>
          <w:szCs w:val="24"/>
        </w:rPr>
      </w:pPr>
      <w:r w:rsidRPr="00CD6D80">
        <w:rPr>
          <w:rFonts w:ascii="Times New Roman" w:hAnsi="Times New Roman" w:cs="Times New Roman"/>
          <w:b/>
          <w:bCs/>
          <w:sz w:val="24"/>
          <w:szCs w:val="24"/>
        </w:rPr>
        <w:t>projektu rozporządzenia Prezesa Rady Ministrów w sprawie legitymacji służbowych w Prokuratorii Generalnej Rzeczypospolitej Polskiej</w:t>
      </w:r>
      <w:r w:rsidRPr="00CD6D80">
        <w:rPr>
          <w:rFonts w:ascii="Times New Roman" w:hAnsi="Times New Roman" w:cs="Times New Roman"/>
          <w:sz w:val="24"/>
          <w:szCs w:val="24"/>
        </w:rPr>
        <w:t xml:space="preserve"> </w:t>
      </w:r>
    </w:p>
    <w:p w14:paraId="3E95C986" w14:textId="77777777" w:rsidR="00FF2B3E" w:rsidRDefault="00FF2B3E" w:rsidP="00FF2B3E">
      <w:pPr>
        <w:spacing w:after="360" w:line="276" w:lineRule="auto"/>
        <w:jc w:val="center"/>
        <w:rPr>
          <w:rFonts w:ascii="Times New Roman" w:hAnsi="Times New Roman" w:cs="Times New Roman"/>
          <w:sz w:val="24"/>
          <w:szCs w:val="24"/>
        </w:rPr>
      </w:pPr>
      <w:r>
        <w:rPr>
          <w:rFonts w:ascii="Times New Roman" w:hAnsi="Times New Roman" w:cs="Times New Roman"/>
          <w:sz w:val="24"/>
          <w:szCs w:val="24"/>
        </w:rPr>
        <w:t>(nr 50 w</w:t>
      </w:r>
      <w:r w:rsidRPr="00CD6D80">
        <w:rPr>
          <w:rFonts w:ascii="Times New Roman" w:hAnsi="Times New Roman" w:cs="Times New Roman"/>
          <w:sz w:val="24"/>
          <w:szCs w:val="24"/>
        </w:rPr>
        <w:t xml:space="preserve"> wykaz</w:t>
      </w:r>
      <w:r>
        <w:rPr>
          <w:rFonts w:ascii="Times New Roman" w:hAnsi="Times New Roman" w:cs="Times New Roman"/>
          <w:sz w:val="24"/>
          <w:szCs w:val="24"/>
        </w:rPr>
        <w:t>ie</w:t>
      </w:r>
      <w:r w:rsidRPr="00CD6D80">
        <w:rPr>
          <w:rFonts w:ascii="Times New Roman" w:hAnsi="Times New Roman" w:cs="Times New Roman"/>
          <w:sz w:val="24"/>
          <w:szCs w:val="24"/>
        </w:rPr>
        <w:t xml:space="preserve"> prac legislacyjnych Prezesa Rady Ministrów)</w:t>
      </w:r>
    </w:p>
    <w:tbl>
      <w:tblPr>
        <w:tblStyle w:val="Tabela-Siatka"/>
        <w:tblW w:w="0" w:type="auto"/>
        <w:tblLook w:val="04A0" w:firstRow="1" w:lastRow="0" w:firstColumn="1" w:lastColumn="0" w:noHBand="0" w:noVBand="1"/>
      </w:tblPr>
      <w:tblGrid>
        <w:gridCol w:w="630"/>
        <w:gridCol w:w="1775"/>
        <w:gridCol w:w="2268"/>
        <w:gridCol w:w="5812"/>
        <w:gridCol w:w="3509"/>
      </w:tblGrid>
      <w:tr w:rsidR="00FF2B3E" w:rsidRPr="00E93479" w14:paraId="772C7FC1" w14:textId="77777777" w:rsidTr="00E36964">
        <w:tc>
          <w:tcPr>
            <w:tcW w:w="630" w:type="dxa"/>
          </w:tcPr>
          <w:p w14:paraId="50A43824" w14:textId="2779F857" w:rsidR="00FF2B3E" w:rsidRPr="00E93479" w:rsidRDefault="00FF2B3E" w:rsidP="000568A9">
            <w:pPr>
              <w:jc w:val="center"/>
              <w:rPr>
                <w:rFonts w:ascii="Times New Roman" w:hAnsi="Times New Roman" w:cs="Times New Roman"/>
                <w:b/>
                <w:bCs/>
              </w:rPr>
            </w:pPr>
            <w:r w:rsidRPr="00E93479">
              <w:rPr>
                <w:rFonts w:ascii="Times New Roman" w:hAnsi="Times New Roman" w:cs="Times New Roman"/>
                <w:b/>
                <w:bCs/>
              </w:rPr>
              <w:t>L.p.</w:t>
            </w:r>
          </w:p>
        </w:tc>
        <w:tc>
          <w:tcPr>
            <w:tcW w:w="1775" w:type="dxa"/>
          </w:tcPr>
          <w:p w14:paraId="470A9904" w14:textId="16E9FD04" w:rsidR="00FF2B3E" w:rsidRPr="00E93479" w:rsidRDefault="00500AA6" w:rsidP="000568A9">
            <w:pPr>
              <w:jc w:val="center"/>
              <w:rPr>
                <w:rFonts w:ascii="Times New Roman" w:hAnsi="Times New Roman" w:cs="Times New Roman"/>
                <w:b/>
                <w:bCs/>
              </w:rPr>
            </w:pPr>
            <w:r>
              <w:rPr>
                <w:rFonts w:ascii="Times New Roman" w:hAnsi="Times New Roman" w:cs="Times New Roman"/>
                <w:b/>
                <w:bCs/>
              </w:rPr>
              <w:t>Część projektu</w:t>
            </w:r>
          </w:p>
        </w:tc>
        <w:tc>
          <w:tcPr>
            <w:tcW w:w="2268" w:type="dxa"/>
          </w:tcPr>
          <w:p w14:paraId="7C9D036B" w14:textId="4C3997CE" w:rsidR="00FF2B3E" w:rsidRPr="00E93479" w:rsidRDefault="00FF2B3E" w:rsidP="000568A9">
            <w:pPr>
              <w:jc w:val="center"/>
              <w:rPr>
                <w:rFonts w:ascii="Times New Roman" w:hAnsi="Times New Roman" w:cs="Times New Roman"/>
                <w:b/>
                <w:bCs/>
              </w:rPr>
            </w:pPr>
            <w:r w:rsidRPr="00E93479">
              <w:rPr>
                <w:rFonts w:ascii="Times New Roman" w:hAnsi="Times New Roman" w:cs="Times New Roman"/>
                <w:b/>
                <w:bCs/>
              </w:rPr>
              <w:t>Podmiot zgłaszający</w:t>
            </w:r>
          </w:p>
        </w:tc>
        <w:tc>
          <w:tcPr>
            <w:tcW w:w="5812" w:type="dxa"/>
          </w:tcPr>
          <w:p w14:paraId="2E991F53" w14:textId="7F87FA07" w:rsidR="00FF2B3E" w:rsidRPr="00E93479" w:rsidRDefault="00FF2B3E" w:rsidP="00FF2B3E">
            <w:pPr>
              <w:jc w:val="center"/>
              <w:rPr>
                <w:rFonts w:ascii="Times New Roman" w:hAnsi="Times New Roman" w:cs="Times New Roman"/>
                <w:b/>
                <w:bCs/>
              </w:rPr>
            </w:pPr>
            <w:r w:rsidRPr="00E93479">
              <w:rPr>
                <w:rFonts w:ascii="Times New Roman" w:hAnsi="Times New Roman" w:cs="Times New Roman"/>
                <w:b/>
                <w:bCs/>
              </w:rPr>
              <w:t>Treść uwagi</w:t>
            </w:r>
          </w:p>
        </w:tc>
        <w:tc>
          <w:tcPr>
            <w:tcW w:w="3509" w:type="dxa"/>
          </w:tcPr>
          <w:p w14:paraId="43538BF1" w14:textId="3EA49D6A" w:rsidR="00FF2B3E" w:rsidRPr="00E93479" w:rsidRDefault="00FF2B3E" w:rsidP="00FF2B3E">
            <w:pPr>
              <w:jc w:val="center"/>
              <w:rPr>
                <w:rFonts w:ascii="Times New Roman" w:hAnsi="Times New Roman" w:cs="Times New Roman"/>
                <w:b/>
                <w:bCs/>
              </w:rPr>
            </w:pPr>
            <w:r w:rsidRPr="00E93479">
              <w:rPr>
                <w:rFonts w:ascii="Times New Roman" w:hAnsi="Times New Roman" w:cs="Times New Roman"/>
                <w:b/>
                <w:bCs/>
              </w:rPr>
              <w:t>Stanowisko do uwagi</w:t>
            </w:r>
          </w:p>
        </w:tc>
      </w:tr>
      <w:tr w:rsidR="00FF2B3E" w:rsidRPr="00E93479" w14:paraId="2927CBF6" w14:textId="77777777" w:rsidTr="00E36964">
        <w:tc>
          <w:tcPr>
            <w:tcW w:w="630" w:type="dxa"/>
          </w:tcPr>
          <w:p w14:paraId="012DFBD7" w14:textId="15BE0B39" w:rsidR="00FF2B3E" w:rsidRPr="00E93479" w:rsidRDefault="005C69A6" w:rsidP="000568A9">
            <w:pPr>
              <w:jc w:val="center"/>
              <w:rPr>
                <w:rFonts w:ascii="Times New Roman" w:hAnsi="Times New Roman" w:cs="Times New Roman"/>
              </w:rPr>
            </w:pPr>
            <w:r>
              <w:rPr>
                <w:rFonts w:ascii="Times New Roman" w:hAnsi="Times New Roman" w:cs="Times New Roman"/>
              </w:rPr>
              <w:t>1.</w:t>
            </w:r>
          </w:p>
        </w:tc>
        <w:tc>
          <w:tcPr>
            <w:tcW w:w="1775" w:type="dxa"/>
          </w:tcPr>
          <w:p w14:paraId="5C2309CC" w14:textId="44C65799" w:rsidR="00FF2B3E" w:rsidRPr="00E93479" w:rsidRDefault="00BD4631" w:rsidP="000568A9">
            <w:pPr>
              <w:jc w:val="center"/>
              <w:rPr>
                <w:rFonts w:ascii="Times New Roman" w:hAnsi="Times New Roman" w:cs="Times New Roman"/>
              </w:rPr>
            </w:pPr>
            <w:r>
              <w:rPr>
                <w:rFonts w:ascii="Times New Roman" w:hAnsi="Times New Roman" w:cs="Times New Roman"/>
              </w:rPr>
              <w:t>U</w:t>
            </w:r>
            <w:r w:rsidR="00FF2B3E" w:rsidRPr="00E93479">
              <w:rPr>
                <w:rFonts w:ascii="Times New Roman" w:hAnsi="Times New Roman" w:cs="Times New Roman"/>
              </w:rPr>
              <w:t>waga ogólna</w:t>
            </w:r>
          </w:p>
        </w:tc>
        <w:tc>
          <w:tcPr>
            <w:tcW w:w="2268" w:type="dxa"/>
          </w:tcPr>
          <w:p w14:paraId="473BB4C5" w14:textId="0BF63C16" w:rsidR="00FF2B3E" w:rsidRPr="00E93479" w:rsidRDefault="00E36964" w:rsidP="000568A9">
            <w:pPr>
              <w:jc w:val="center"/>
              <w:rPr>
                <w:rFonts w:ascii="Times New Roman" w:hAnsi="Times New Roman" w:cs="Times New Roman"/>
              </w:rPr>
            </w:pPr>
            <w:r w:rsidRPr="00E93479">
              <w:rPr>
                <w:rFonts w:ascii="Times New Roman" w:hAnsi="Times New Roman" w:cs="Times New Roman"/>
              </w:rPr>
              <w:t>Prezes Urzędu Ochrony Danych Osobowych</w:t>
            </w:r>
          </w:p>
        </w:tc>
        <w:tc>
          <w:tcPr>
            <w:tcW w:w="5812" w:type="dxa"/>
          </w:tcPr>
          <w:p w14:paraId="293A0AE6" w14:textId="69F38014" w:rsidR="00FF2B3E" w:rsidRPr="00E93479" w:rsidRDefault="00FF2B3E" w:rsidP="000568A9">
            <w:pPr>
              <w:jc w:val="both"/>
              <w:rPr>
                <w:rFonts w:ascii="Times New Roman" w:hAnsi="Times New Roman" w:cs="Times New Roman"/>
              </w:rPr>
            </w:pPr>
            <w:r w:rsidRPr="00E93479">
              <w:rPr>
                <w:rFonts w:ascii="Times New Roman" w:hAnsi="Times New Roman" w:cs="Times New Roman"/>
              </w:rPr>
              <w:t>Projekt rozporządzenia określa dwie formy w jakiej wydawany ma być</w:t>
            </w:r>
            <w:r w:rsidR="00500AA6">
              <w:rPr>
                <w:rFonts w:ascii="Times New Roman" w:hAnsi="Times New Roman" w:cs="Times New Roman"/>
              </w:rPr>
              <w:t xml:space="preserve"> </w:t>
            </w:r>
            <w:r w:rsidRPr="00E93479">
              <w:rPr>
                <w:rFonts w:ascii="Times New Roman" w:hAnsi="Times New Roman" w:cs="Times New Roman"/>
              </w:rPr>
              <w:t>identyfikator radcy Prokuratorii Generalnej – jako spersonalizowana karta</w:t>
            </w:r>
            <w:r w:rsidR="00500AA6">
              <w:rPr>
                <w:rFonts w:ascii="Times New Roman" w:hAnsi="Times New Roman" w:cs="Times New Roman"/>
              </w:rPr>
              <w:t xml:space="preserve"> </w:t>
            </w:r>
            <w:r w:rsidRPr="00E93479">
              <w:rPr>
                <w:rFonts w:ascii="Times New Roman" w:hAnsi="Times New Roman" w:cs="Times New Roman"/>
              </w:rPr>
              <w:t>identyfikacyjna oraz jako dokument mobilny funkcjonujący w środowisku aplikacji</w:t>
            </w:r>
            <w:r w:rsidR="00500AA6">
              <w:rPr>
                <w:rFonts w:ascii="Times New Roman" w:hAnsi="Times New Roman" w:cs="Times New Roman"/>
              </w:rPr>
              <w:t xml:space="preserve"> </w:t>
            </w:r>
            <w:proofErr w:type="spellStart"/>
            <w:r w:rsidRPr="00E93479">
              <w:rPr>
                <w:rFonts w:ascii="Times New Roman" w:hAnsi="Times New Roman" w:cs="Times New Roman"/>
              </w:rPr>
              <w:t>mObywatel</w:t>
            </w:r>
            <w:proofErr w:type="spellEnd"/>
            <w:r w:rsidRPr="00E93479">
              <w:rPr>
                <w:rFonts w:ascii="Times New Roman" w:hAnsi="Times New Roman" w:cs="Times New Roman"/>
              </w:rPr>
              <w:t>. Organ nadzorczy pod rozwagę projektodawcy poddaje w tym przypadku</w:t>
            </w:r>
            <w:r w:rsidR="00E36964">
              <w:rPr>
                <w:rFonts w:ascii="Times New Roman" w:hAnsi="Times New Roman" w:cs="Times New Roman"/>
              </w:rPr>
              <w:t xml:space="preserve"> </w:t>
            </w:r>
            <w:r w:rsidRPr="00E93479">
              <w:rPr>
                <w:rFonts w:ascii="Times New Roman" w:hAnsi="Times New Roman" w:cs="Times New Roman"/>
              </w:rPr>
              <w:t>kwestię braku ustawowej podstawy prawnej do wydawania karty</w:t>
            </w:r>
            <w:r w:rsidR="00500AA6">
              <w:rPr>
                <w:rFonts w:ascii="Times New Roman" w:hAnsi="Times New Roman" w:cs="Times New Roman"/>
              </w:rPr>
              <w:t xml:space="preserve"> </w:t>
            </w:r>
            <w:r w:rsidRPr="00E93479">
              <w:rPr>
                <w:rFonts w:ascii="Times New Roman" w:hAnsi="Times New Roman" w:cs="Times New Roman"/>
              </w:rPr>
              <w:t xml:space="preserve">identyfikacyjnej w formie elektronicznej w aplikacji </w:t>
            </w:r>
            <w:proofErr w:type="spellStart"/>
            <w:r w:rsidRPr="00E93479">
              <w:rPr>
                <w:rFonts w:ascii="Times New Roman" w:hAnsi="Times New Roman" w:cs="Times New Roman"/>
              </w:rPr>
              <w:t>mObywatel</w:t>
            </w:r>
            <w:proofErr w:type="spellEnd"/>
            <w:r w:rsidRPr="00E93479">
              <w:rPr>
                <w:rFonts w:ascii="Times New Roman" w:hAnsi="Times New Roman" w:cs="Times New Roman"/>
              </w:rPr>
              <w:t>, z</w:t>
            </w:r>
            <w:r w:rsidR="00500AA6">
              <w:rPr>
                <w:rFonts w:ascii="Times New Roman" w:hAnsi="Times New Roman" w:cs="Times New Roman"/>
              </w:rPr>
              <w:t xml:space="preserve"> </w:t>
            </w:r>
            <w:r w:rsidRPr="00E93479">
              <w:rPr>
                <w:rFonts w:ascii="Times New Roman" w:hAnsi="Times New Roman" w:cs="Times New Roman"/>
              </w:rPr>
              <w:t>powodów które</w:t>
            </w:r>
            <w:r w:rsidR="00500AA6">
              <w:rPr>
                <w:rFonts w:ascii="Times New Roman" w:hAnsi="Times New Roman" w:cs="Times New Roman"/>
              </w:rPr>
              <w:t xml:space="preserve"> </w:t>
            </w:r>
            <w:r w:rsidRPr="00E93479">
              <w:rPr>
                <w:rFonts w:ascii="Times New Roman" w:hAnsi="Times New Roman" w:cs="Times New Roman"/>
              </w:rPr>
              <w:t>szerzej opisane zostały poniżej.</w:t>
            </w:r>
          </w:p>
          <w:p w14:paraId="7508E788" w14:textId="5CBDDF6B" w:rsidR="00FF2B3E" w:rsidRPr="00E93479" w:rsidRDefault="00FF2B3E" w:rsidP="000568A9">
            <w:pPr>
              <w:jc w:val="both"/>
              <w:rPr>
                <w:rFonts w:ascii="Times New Roman" w:hAnsi="Times New Roman" w:cs="Times New Roman"/>
              </w:rPr>
            </w:pPr>
            <w:r w:rsidRPr="00E93479">
              <w:rPr>
                <w:rFonts w:ascii="Times New Roman" w:hAnsi="Times New Roman" w:cs="Times New Roman"/>
              </w:rPr>
              <w:t>W pierwszej kolejności zwrócić uwagę należy na konstrukcję i literalne</w:t>
            </w:r>
            <w:r w:rsidR="00500AA6">
              <w:rPr>
                <w:rFonts w:ascii="Times New Roman" w:hAnsi="Times New Roman" w:cs="Times New Roman"/>
              </w:rPr>
              <w:t xml:space="preserve"> </w:t>
            </w:r>
            <w:r w:rsidRPr="00E93479">
              <w:rPr>
                <w:rFonts w:ascii="Times New Roman" w:hAnsi="Times New Roman" w:cs="Times New Roman"/>
              </w:rPr>
              <w:t>brzmienie przepisu, który stanowi podstawę wydania rozporządzenia wykonawczego.</w:t>
            </w:r>
            <w:r w:rsidR="00500AA6">
              <w:rPr>
                <w:rFonts w:ascii="Times New Roman" w:hAnsi="Times New Roman" w:cs="Times New Roman"/>
              </w:rPr>
              <w:t xml:space="preserve"> </w:t>
            </w:r>
            <w:r w:rsidRPr="00E93479">
              <w:rPr>
                <w:rFonts w:ascii="Times New Roman" w:hAnsi="Times New Roman" w:cs="Times New Roman"/>
              </w:rPr>
              <w:t>Art. 33 ust. 4 ustawy o Prokuratorii Generalnej stanowi, że „Prezes Rady Ministrów</w:t>
            </w:r>
            <w:r w:rsidR="00500AA6">
              <w:rPr>
                <w:rFonts w:ascii="Times New Roman" w:hAnsi="Times New Roman" w:cs="Times New Roman"/>
              </w:rPr>
              <w:t xml:space="preserve"> </w:t>
            </w:r>
            <w:r w:rsidRPr="00E93479">
              <w:rPr>
                <w:rFonts w:ascii="Times New Roman" w:hAnsi="Times New Roman" w:cs="Times New Roman"/>
              </w:rPr>
              <w:t>określi, w drodze rozporządzenia, wzory legitymacji</w:t>
            </w:r>
            <w:r w:rsidR="00E36964">
              <w:rPr>
                <w:rFonts w:ascii="Times New Roman" w:hAnsi="Times New Roman" w:cs="Times New Roman"/>
              </w:rPr>
              <w:t xml:space="preserve"> </w:t>
            </w:r>
            <w:r w:rsidRPr="00E93479">
              <w:rPr>
                <w:rFonts w:ascii="Times New Roman" w:hAnsi="Times New Roman" w:cs="Times New Roman"/>
              </w:rPr>
              <w:t>służbowych</w:t>
            </w:r>
            <w:r w:rsidR="00E36964">
              <w:rPr>
                <w:rFonts w:ascii="Times New Roman" w:hAnsi="Times New Roman" w:cs="Times New Roman"/>
              </w:rPr>
              <w:t xml:space="preserve"> </w:t>
            </w:r>
            <w:r w:rsidRPr="00E93479">
              <w:rPr>
                <w:rFonts w:ascii="Times New Roman" w:hAnsi="Times New Roman" w:cs="Times New Roman"/>
              </w:rPr>
              <w:t>(…)”. Poprzez</w:t>
            </w:r>
            <w:r w:rsidR="00500AA6">
              <w:rPr>
                <w:rFonts w:ascii="Times New Roman" w:hAnsi="Times New Roman" w:cs="Times New Roman"/>
              </w:rPr>
              <w:t xml:space="preserve"> </w:t>
            </w:r>
            <w:r w:rsidRPr="00E93479">
              <w:rPr>
                <w:rFonts w:ascii="Times New Roman" w:hAnsi="Times New Roman" w:cs="Times New Roman"/>
              </w:rPr>
              <w:t>wzgląd na zakaz domniemywania i rozszerzania kompetencji organu wydającego akt</w:t>
            </w:r>
            <w:r w:rsidR="00500AA6">
              <w:rPr>
                <w:rFonts w:ascii="Times New Roman" w:hAnsi="Times New Roman" w:cs="Times New Roman"/>
              </w:rPr>
              <w:t xml:space="preserve"> </w:t>
            </w:r>
            <w:r w:rsidRPr="00E93479">
              <w:rPr>
                <w:rFonts w:ascii="Times New Roman" w:hAnsi="Times New Roman" w:cs="Times New Roman"/>
              </w:rPr>
              <w:t>wykonawczy przepis ten podlegać powinien wykładni ścisłej, zawężającej. Zakres</w:t>
            </w:r>
            <w:r w:rsidR="00500AA6">
              <w:rPr>
                <w:rFonts w:ascii="Times New Roman" w:hAnsi="Times New Roman" w:cs="Times New Roman"/>
              </w:rPr>
              <w:t xml:space="preserve"> </w:t>
            </w:r>
            <w:r w:rsidRPr="00E93479">
              <w:rPr>
                <w:rFonts w:ascii="Times New Roman" w:hAnsi="Times New Roman" w:cs="Times New Roman"/>
              </w:rPr>
              <w:t xml:space="preserve">delegacji został określony w sposób </w:t>
            </w:r>
            <w:proofErr w:type="spellStart"/>
            <w:r w:rsidRPr="00E93479">
              <w:rPr>
                <w:rFonts w:ascii="Times New Roman" w:hAnsi="Times New Roman" w:cs="Times New Roman"/>
              </w:rPr>
              <w:t>taksatywny</w:t>
            </w:r>
            <w:proofErr w:type="spellEnd"/>
            <w:r w:rsidRPr="00E93479">
              <w:rPr>
                <w:rFonts w:ascii="Times New Roman" w:hAnsi="Times New Roman" w:cs="Times New Roman"/>
              </w:rPr>
              <w:t xml:space="preserve"> i szczegółowy. W drodze</w:t>
            </w:r>
            <w:r w:rsidR="00E36964">
              <w:rPr>
                <w:rFonts w:ascii="Times New Roman" w:hAnsi="Times New Roman" w:cs="Times New Roman"/>
              </w:rPr>
              <w:t xml:space="preserve"> </w:t>
            </w:r>
            <w:r w:rsidRPr="00E93479">
              <w:rPr>
                <w:rFonts w:ascii="Times New Roman" w:hAnsi="Times New Roman" w:cs="Times New Roman"/>
              </w:rPr>
              <w:t>rozporządzenia określony ma zostać wzór dokumentu, a nie forma w jakiej ma on</w:t>
            </w:r>
            <w:r w:rsidR="00500AA6">
              <w:rPr>
                <w:rFonts w:ascii="Times New Roman" w:hAnsi="Times New Roman" w:cs="Times New Roman"/>
              </w:rPr>
              <w:t xml:space="preserve"> </w:t>
            </w:r>
            <w:r w:rsidRPr="00E93479">
              <w:rPr>
                <w:rFonts w:ascii="Times New Roman" w:hAnsi="Times New Roman" w:cs="Times New Roman"/>
              </w:rPr>
              <w:t>funkcjonować w obiegu prawnym. Dokument mobilny w rozumieniu art. 2 pkt 7</w:t>
            </w:r>
            <w:r w:rsidR="00500AA6">
              <w:rPr>
                <w:rFonts w:ascii="Times New Roman" w:hAnsi="Times New Roman" w:cs="Times New Roman"/>
              </w:rPr>
              <w:t xml:space="preserve"> </w:t>
            </w:r>
            <w:r w:rsidRPr="00E93479">
              <w:rPr>
                <w:rFonts w:ascii="Times New Roman" w:hAnsi="Times New Roman" w:cs="Times New Roman"/>
              </w:rPr>
              <w:t xml:space="preserve">o aplikacji </w:t>
            </w:r>
            <w:proofErr w:type="spellStart"/>
            <w:r w:rsidRPr="00E93479">
              <w:rPr>
                <w:rFonts w:ascii="Times New Roman" w:hAnsi="Times New Roman" w:cs="Times New Roman"/>
              </w:rPr>
              <w:t>mObywatel</w:t>
            </w:r>
            <w:proofErr w:type="spellEnd"/>
            <w:r w:rsidRPr="00E93479">
              <w:rPr>
                <w:rFonts w:ascii="Times New Roman" w:hAnsi="Times New Roman" w:cs="Times New Roman"/>
              </w:rPr>
              <w:t xml:space="preserve"> – w rozumieniu jego znaczenia</w:t>
            </w:r>
            <w:r w:rsidR="00E36964">
              <w:rPr>
                <w:rFonts w:ascii="Times New Roman" w:hAnsi="Times New Roman" w:cs="Times New Roman"/>
              </w:rPr>
              <w:t xml:space="preserve"> </w:t>
            </w:r>
            <w:r w:rsidRPr="00E93479">
              <w:rPr>
                <w:rFonts w:ascii="Times New Roman" w:hAnsi="Times New Roman" w:cs="Times New Roman"/>
              </w:rPr>
              <w:t>prawnego – jest dokumentem</w:t>
            </w:r>
            <w:r w:rsidR="00500AA6">
              <w:rPr>
                <w:rFonts w:ascii="Times New Roman" w:hAnsi="Times New Roman" w:cs="Times New Roman"/>
              </w:rPr>
              <w:t xml:space="preserve"> </w:t>
            </w:r>
            <w:r w:rsidRPr="00E93479">
              <w:rPr>
                <w:rFonts w:ascii="Times New Roman" w:hAnsi="Times New Roman" w:cs="Times New Roman"/>
              </w:rPr>
              <w:t>odrębnym, który co do zasady funkcjonuje w obiegu prawnym samodzielnie.</w:t>
            </w:r>
            <w:r w:rsidR="00500AA6">
              <w:rPr>
                <w:rFonts w:ascii="Times New Roman" w:hAnsi="Times New Roman" w:cs="Times New Roman"/>
              </w:rPr>
              <w:t xml:space="preserve"> </w:t>
            </w:r>
            <w:r w:rsidRPr="00E93479">
              <w:rPr>
                <w:rFonts w:ascii="Times New Roman" w:hAnsi="Times New Roman" w:cs="Times New Roman"/>
              </w:rPr>
              <w:t>Odzwierciedlenie dokumentu fizycznego w aplikacji</w:t>
            </w:r>
            <w:r w:rsidR="00E36964">
              <w:rPr>
                <w:rFonts w:ascii="Times New Roman" w:hAnsi="Times New Roman" w:cs="Times New Roman"/>
              </w:rPr>
              <w:t xml:space="preserve"> </w:t>
            </w:r>
            <w:proofErr w:type="spellStart"/>
            <w:r w:rsidRPr="00E93479">
              <w:rPr>
                <w:rFonts w:ascii="Times New Roman" w:hAnsi="Times New Roman" w:cs="Times New Roman"/>
              </w:rPr>
              <w:t>mObywatel</w:t>
            </w:r>
            <w:proofErr w:type="spellEnd"/>
            <w:r w:rsidRPr="00E93479">
              <w:rPr>
                <w:rFonts w:ascii="Times New Roman" w:hAnsi="Times New Roman" w:cs="Times New Roman"/>
              </w:rPr>
              <w:t xml:space="preserve"> nie jest jedynie</w:t>
            </w:r>
            <w:r w:rsidR="00E36964">
              <w:rPr>
                <w:rFonts w:ascii="Times New Roman" w:hAnsi="Times New Roman" w:cs="Times New Roman"/>
              </w:rPr>
              <w:t xml:space="preserve"> </w:t>
            </w:r>
            <w:r w:rsidRPr="00E93479">
              <w:rPr>
                <w:rFonts w:ascii="Times New Roman" w:hAnsi="Times New Roman" w:cs="Times New Roman"/>
              </w:rPr>
              <w:t>zmianą nośnika danych, ale stanowi stworzenie nowego rodzaju, samoistnego</w:t>
            </w:r>
            <w:r w:rsidR="00500AA6">
              <w:rPr>
                <w:rFonts w:ascii="Times New Roman" w:hAnsi="Times New Roman" w:cs="Times New Roman"/>
              </w:rPr>
              <w:t xml:space="preserve"> </w:t>
            </w:r>
            <w:r w:rsidRPr="00E93479">
              <w:rPr>
                <w:rFonts w:ascii="Times New Roman" w:hAnsi="Times New Roman" w:cs="Times New Roman"/>
              </w:rPr>
              <w:t xml:space="preserve">dokumentu, którym </w:t>
            </w:r>
            <w:r w:rsidRPr="00E93479">
              <w:rPr>
                <w:rFonts w:ascii="Times New Roman" w:hAnsi="Times New Roman" w:cs="Times New Roman"/>
              </w:rPr>
              <w:lastRenderedPageBreak/>
              <w:t>można posługiwać się niezależnie od dokumentu wydanego</w:t>
            </w:r>
            <w:r w:rsidR="00500AA6">
              <w:rPr>
                <w:rFonts w:ascii="Times New Roman" w:hAnsi="Times New Roman" w:cs="Times New Roman"/>
              </w:rPr>
              <w:t xml:space="preserve"> </w:t>
            </w:r>
            <w:r w:rsidRPr="00E93479">
              <w:rPr>
                <w:rFonts w:ascii="Times New Roman" w:hAnsi="Times New Roman" w:cs="Times New Roman"/>
              </w:rPr>
              <w:t>formie fizycznej. Powyższe oznacza, że rozporządzenie może określić jedynie</w:t>
            </w:r>
            <w:r w:rsidR="00500AA6">
              <w:rPr>
                <w:rFonts w:ascii="Times New Roman" w:hAnsi="Times New Roman" w:cs="Times New Roman"/>
              </w:rPr>
              <w:t xml:space="preserve"> </w:t>
            </w:r>
            <w:r w:rsidRPr="00E93479">
              <w:rPr>
                <w:rFonts w:ascii="Times New Roman" w:hAnsi="Times New Roman" w:cs="Times New Roman"/>
              </w:rPr>
              <w:t>wzór dokumentu, natomiast to w jakiej formie może być on wydany powinno</w:t>
            </w:r>
            <w:r w:rsidR="00500AA6">
              <w:rPr>
                <w:rFonts w:ascii="Times New Roman" w:hAnsi="Times New Roman" w:cs="Times New Roman"/>
              </w:rPr>
              <w:t xml:space="preserve"> </w:t>
            </w:r>
            <w:r w:rsidRPr="00E93479">
              <w:rPr>
                <w:rFonts w:ascii="Times New Roman" w:hAnsi="Times New Roman" w:cs="Times New Roman"/>
              </w:rPr>
              <w:t>wynikać z normy ustawowej.</w:t>
            </w:r>
          </w:p>
          <w:p w14:paraId="35C33017" w14:textId="04DBB0B3" w:rsidR="00E93479" w:rsidRPr="00E93479" w:rsidRDefault="00FF2B3E" w:rsidP="001B70A7">
            <w:pPr>
              <w:jc w:val="both"/>
              <w:rPr>
                <w:rFonts w:ascii="Times New Roman" w:hAnsi="Times New Roman" w:cs="Times New Roman"/>
              </w:rPr>
            </w:pPr>
            <w:r w:rsidRPr="00E93479">
              <w:rPr>
                <w:rFonts w:ascii="Times New Roman" w:hAnsi="Times New Roman" w:cs="Times New Roman"/>
              </w:rPr>
              <w:t>Projektodawca słusznie zauważa, że przepisy ustawy o Prokuratorii</w:t>
            </w:r>
            <w:r w:rsidR="00500AA6">
              <w:rPr>
                <w:rFonts w:ascii="Times New Roman" w:hAnsi="Times New Roman" w:cs="Times New Roman"/>
              </w:rPr>
              <w:t xml:space="preserve"> </w:t>
            </w:r>
            <w:r w:rsidRPr="00E93479">
              <w:rPr>
                <w:rFonts w:ascii="Times New Roman" w:hAnsi="Times New Roman" w:cs="Times New Roman"/>
              </w:rPr>
              <w:t>Generalnej nie określają formy w jakiej dokument legitymacji może zostać wydany –</w:t>
            </w:r>
            <w:r w:rsidR="00500AA6">
              <w:rPr>
                <w:rFonts w:ascii="Times New Roman" w:hAnsi="Times New Roman" w:cs="Times New Roman"/>
              </w:rPr>
              <w:t xml:space="preserve"> </w:t>
            </w:r>
            <w:r w:rsidRPr="00E93479">
              <w:rPr>
                <w:rFonts w:ascii="Times New Roman" w:hAnsi="Times New Roman" w:cs="Times New Roman"/>
              </w:rPr>
              <w:t>czy ma mieć formę tradycyjną czy też elektroniczną. W ocenie organu nadzorczego,</w:t>
            </w:r>
            <w:r w:rsidR="00E36964">
              <w:rPr>
                <w:rFonts w:ascii="Times New Roman" w:hAnsi="Times New Roman" w:cs="Times New Roman"/>
              </w:rPr>
              <w:t xml:space="preserve"> </w:t>
            </w:r>
            <w:r w:rsidRPr="00E93479">
              <w:rPr>
                <w:rFonts w:ascii="Times New Roman" w:hAnsi="Times New Roman" w:cs="Times New Roman"/>
              </w:rPr>
              <w:t>nie oznacza to jednak, że dokument może zostać wydany w dowolnie uznanej</w:t>
            </w:r>
            <w:r w:rsidR="00500AA6">
              <w:rPr>
                <w:rFonts w:ascii="Times New Roman" w:hAnsi="Times New Roman" w:cs="Times New Roman"/>
              </w:rPr>
              <w:t xml:space="preserve"> </w:t>
            </w:r>
            <w:r w:rsidRPr="00E93479">
              <w:rPr>
                <w:rFonts w:ascii="Times New Roman" w:hAnsi="Times New Roman" w:cs="Times New Roman"/>
              </w:rPr>
              <w:t>formie, a tym bardziej, że dookreślenie tej formy może odbywać się w drodze</w:t>
            </w:r>
            <w:r w:rsidR="00500AA6">
              <w:rPr>
                <w:rFonts w:ascii="Times New Roman" w:hAnsi="Times New Roman" w:cs="Times New Roman"/>
              </w:rPr>
              <w:t xml:space="preserve"> </w:t>
            </w:r>
            <w:r w:rsidRPr="00E93479">
              <w:rPr>
                <w:rFonts w:ascii="Times New Roman" w:hAnsi="Times New Roman" w:cs="Times New Roman"/>
              </w:rPr>
              <w:t>rozporządzenia wykonawczego. To, czy określony dokument może funkcjonować</w:t>
            </w:r>
            <w:r w:rsidR="00E36964">
              <w:rPr>
                <w:rFonts w:ascii="Times New Roman" w:hAnsi="Times New Roman" w:cs="Times New Roman"/>
              </w:rPr>
              <w:t xml:space="preserve"> </w:t>
            </w:r>
            <w:r w:rsidRPr="00E93479">
              <w:rPr>
                <w:rFonts w:ascii="Times New Roman" w:hAnsi="Times New Roman" w:cs="Times New Roman"/>
              </w:rPr>
              <w:t>w obiegu prawnym także w formie elektronicznego odzwierciedlenia w aplikacji</w:t>
            </w:r>
            <w:r w:rsidR="00E36964">
              <w:rPr>
                <w:rFonts w:ascii="Times New Roman" w:hAnsi="Times New Roman" w:cs="Times New Roman"/>
              </w:rPr>
              <w:t xml:space="preserve"> </w:t>
            </w:r>
            <w:proofErr w:type="spellStart"/>
            <w:r w:rsidRPr="00E93479">
              <w:rPr>
                <w:rFonts w:ascii="Times New Roman" w:hAnsi="Times New Roman" w:cs="Times New Roman"/>
              </w:rPr>
              <w:t>mObywatel</w:t>
            </w:r>
            <w:proofErr w:type="spellEnd"/>
            <w:r w:rsidRPr="00E93479">
              <w:rPr>
                <w:rFonts w:ascii="Times New Roman" w:hAnsi="Times New Roman" w:cs="Times New Roman"/>
              </w:rPr>
              <w:t xml:space="preserve"> wymaga konkretnego przepisu prawnego, który wprost przewiduje</w:t>
            </w:r>
            <w:r w:rsidR="00500AA6">
              <w:rPr>
                <w:rFonts w:ascii="Times New Roman" w:hAnsi="Times New Roman" w:cs="Times New Roman"/>
              </w:rPr>
              <w:t xml:space="preserve"> </w:t>
            </w:r>
            <w:r w:rsidRPr="00E93479">
              <w:rPr>
                <w:rFonts w:ascii="Times New Roman" w:hAnsi="Times New Roman" w:cs="Times New Roman"/>
              </w:rPr>
              <w:t>takie rozwiązanie. Przepisy ustawy o aplikacji</w:t>
            </w:r>
            <w:r w:rsidR="00500AA6">
              <w:rPr>
                <w:rFonts w:ascii="Times New Roman" w:hAnsi="Times New Roman" w:cs="Times New Roman"/>
              </w:rPr>
              <w:t xml:space="preserve"> </w:t>
            </w:r>
            <w:proofErr w:type="spellStart"/>
            <w:r w:rsidRPr="00E93479">
              <w:rPr>
                <w:rFonts w:ascii="Times New Roman" w:hAnsi="Times New Roman" w:cs="Times New Roman"/>
              </w:rPr>
              <w:t>mObywatel</w:t>
            </w:r>
            <w:proofErr w:type="spellEnd"/>
            <w:r w:rsidRPr="00E93479">
              <w:rPr>
                <w:rFonts w:ascii="Times New Roman" w:hAnsi="Times New Roman" w:cs="Times New Roman"/>
              </w:rPr>
              <w:t xml:space="preserve"> przewidują szereg</w:t>
            </w:r>
            <w:r w:rsidR="00500AA6">
              <w:rPr>
                <w:rFonts w:ascii="Times New Roman" w:hAnsi="Times New Roman" w:cs="Times New Roman"/>
              </w:rPr>
              <w:t xml:space="preserve"> </w:t>
            </w:r>
            <w:r w:rsidRPr="00E93479">
              <w:rPr>
                <w:rFonts w:ascii="Times New Roman" w:hAnsi="Times New Roman" w:cs="Times New Roman"/>
              </w:rPr>
              <w:t>przepisów zmieniających inne ustawy, określając w ten sposób szczegółowe tryby</w:t>
            </w:r>
            <w:r w:rsidR="00500AA6">
              <w:rPr>
                <w:rFonts w:ascii="Times New Roman" w:hAnsi="Times New Roman" w:cs="Times New Roman"/>
              </w:rPr>
              <w:t xml:space="preserve"> </w:t>
            </w:r>
            <w:r w:rsidR="00E93479" w:rsidRPr="00E93479">
              <w:rPr>
                <w:rFonts w:ascii="Times New Roman" w:hAnsi="Times New Roman" w:cs="Times New Roman"/>
              </w:rPr>
              <w:t>wydawania dokumentów w formie elektronicznej funkcjonujących w aplikacji</w:t>
            </w:r>
            <w:r w:rsidR="00500AA6">
              <w:rPr>
                <w:rFonts w:ascii="Times New Roman" w:hAnsi="Times New Roman" w:cs="Times New Roman"/>
              </w:rPr>
              <w:t xml:space="preserve"> </w:t>
            </w:r>
            <w:proofErr w:type="spellStart"/>
            <w:r w:rsidR="00E93479" w:rsidRPr="00E93479">
              <w:rPr>
                <w:rFonts w:ascii="Times New Roman" w:hAnsi="Times New Roman" w:cs="Times New Roman"/>
              </w:rPr>
              <w:t>mObywatel</w:t>
            </w:r>
            <w:proofErr w:type="spellEnd"/>
            <w:r w:rsidR="00E93479" w:rsidRPr="00E93479">
              <w:rPr>
                <w:rFonts w:ascii="Times New Roman" w:hAnsi="Times New Roman" w:cs="Times New Roman"/>
              </w:rPr>
              <w:t>, np. elektronicznego prawa jazdy, czy legitymacji studenckiej. Analogią</w:t>
            </w:r>
            <w:r w:rsidR="00500AA6">
              <w:rPr>
                <w:rFonts w:ascii="Times New Roman" w:hAnsi="Times New Roman" w:cs="Times New Roman"/>
              </w:rPr>
              <w:t xml:space="preserve"> </w:t>
            </w:r>
            <w:r w:rsidR="00E93479" w:rsidRPr="00E93479">
              <w:rPr>
                <w:rFonts w:ascii="Times New Roman" w:hAnsi="Times New Roman" w:cs="Times New Roman"/>
              </w:rPr>
              <w:t>dla ustawy o Prokuratorii Generalnej jest przykład art. 11a ust. 1 ustawy Karta</w:t>
            </w:r>
            <w:r w:rsidR="00E36964">
              <w:rPr>
                <w:rFonts w:ascii="Times New Roman" w:hAnsi="Times New Roman" w:cs="Times New Roman"/>
              </w:rPr>
              <w:t xml:space="preserve"> </w:t>
            </w:r>
            <w:r w:rsidR="00E93479" w:rsidRPr="00E93479">
              <w:rPr>
                <w:rFonts w:ascii="Times New Roman" w:hAnsi="Times New Roman" w:cs="Times New Roman"/>
              </w:rPr>
              <w:t>Nauczyciela. W obecnym brzmieniu stanowi on jedynie, że dyrektor szkoły, na</w:t>
            </w:r>
            <w:r w:rsidR="00E36964">
              <w:rPr>
                <w:rFonts w:ascii="Times New Roman" w:hAnsi="Times New Roman" w:cs="Times New Roman"/>
              </w:rPr>
              <w:t xml:space="preserve"> </w:t>
            </w:r>
            <w:r w:rsidR="00E93479" w:rsidRPr="00E93479">
              <w:rPr>
                <w:rFonts w:ascii="Times New Roman" w:hAnsi="Times New Roman" w:cs="Times New Roman"/>
              </w:rPr>
              <w:t>wniosek nauczyciela, wystawia nauczycielowi legitymację służbową. Przepisy ustawy</w:t>
            </w:r>
            <w:r w:rsidR="00500AA6">
              <w:rPr>
                <w:rFonts w:ascii="Times New Roman" w:hAnsi="Times New Roman" w:cs="Times New Roman"/>
              </w:rPr>
              <w:t xml:space="preserve"> </w:t>
            </w:r>
            <w:r w:rsidR="00E93479" w:rsidRPr="00E93479">
              <w:rPr>
                <w:rFonts w:ascii="Times New Roman" w:hAnsi="Times New Roman" w:cs="Times New Roman"/>
              </w:rPr>
              <w:t>nie określają zatem – podobnie jak w przypadku ustawy o Prokuratorii Generalnej –</w:t>
            </w:r>
            <w:r w:rsidR="00500AA6">
              <w:rPr>
                <w:rFonts w:ascii="Times New Roman" w:hAnsi="Times New Roman" w:cs="Times New Roman"/>
              </w:rPr>
              <w:t xml:space="preserve"> </w:t>
            </w:r>
            <w:r w:rsidR="00E93479" w:rsidRPr="00E93479">
              <w:rPr>
                <w:rFonts w:ascii="Times New Roman" w:hAnsi="Times New Roman" w:cs="Times New Roman"/>
              </w:rPr>
              <w:t xml:space="preserve">formy wystawienia dokumentu. Art. 24 ustawy o aplikacji </w:t>
            </w:r>
            <w:proofErr w:type="spellStart"/>
            <w:r w:rsidR="00E93479" w:rsidRPr="00E93479">
              <w:rPr>
                <w:rFonts w:ascii="Times New Roman" w:hAnsi="Times New Roman" w:cs="Times New Roman"/>
              </w:rPr>
              <w:t>mObywatel</w:t>
            </w:r>
            <w:proofErr w:type="spellEnd"/>
            <w:r w:rsidR="00E93479" w:rsidRPr="00E93479">
              <w:rPr>
                <w:rFonts w:ascii="Times New Roman" w:hAnsi="Times New Roman" w:cs="Times New Roman"/>
              </w:rPr>
              <w:t xml:space="preserve"> wprowadza</w:t>
            </w:r>
            <w:r w:rsidR="00500AA6">
              <w:rPr>
                <w:rFonts w:ascii="Times New Roman" w:hAnsi="Times New Roman" w:cs="Times New Roman"/>
              </w:rPr>
              <w:t xml:space="preserve"> </w:t>
            </w:r>
            <w:r w:rsidR="00E93479" w:rsidRPr="00E93479">
              <w:rPr>
                <w:rFonts w:ascii="Times New Roman" w:hAnsi="Times New Roman" w:cs="Times New Roman"/>
              </w:rPr>
              <w:t>zmiany w ustawie Karta Nauczyciela, dodając przepisy, które wyraźnie i precyzyjnie</w:t>
            </w:r>
            <w:r w:rsidR="00500AA6">
              <w:rPr>
                <w:rFonts w:ascii="Times New Roman" w:hAnsi="Times New Roman" w:cs="Times New Roman"/>
              </w:rPr>
              <w:t xml:space="preserve"> </w:t>
            </w:r>
            <w:r w:rsidR="00E93479" w:rsidRPr="00E93479">
              <w:rPr>
                <w:rFonts w:ascii="Times New Roman" w:hAnsi="Times New Roman" w:cs="Times New Roman"/>
              </w:rPr>
              <w:t>określają dwie osobne formy wydawania legitymacji służbowej nauczyciela –</w:t>
            </w:r>
            <w:r w:rsidR="00500AA6">
              <w:rPr>
                <w:rFonts w:ascii="Times New Roman" w:hAnsi="Times New Roman" w:cs="Times New Roman"/>
              </w:rPr>
              <w:t xml:space="preserve"> </w:t>
            </w:r>
            <w:r w:rsidR="00E93479" w:rsidRPr="00E93479">
              <w:rPr>
                <w:rFonts w:ascii="Times New Roman" w:hAnsi="Times New Roman" w:cs="Times New Roman"/>
              </w:rPr>
              <w:t>w postaci karty</w:t>
            </w:r>
            <w:r w:rsidR="009552A1">
              <w:rPr>
                <w:rFonts w:ascii="Times New Roman" w:hAnsi="Times New Roman" w:cs="Times New Roman"/>
              </w:rPr>
              <w:t xml:space="preserve"> </w:t>
            </w:r>
            <w:r w:rsidR="00E93479" w:rsidRPr="00E93479">
              <w:rPr>
                <w:rFonts w:ascii="Times New Roman" w:hAnsi="Times New Roman" w:cs="Times New Roman"/>
              </w:rPr>
              <w:t>(fizycznej) oraz w postaci dokumentu mobilnego (</w:t>
            </w:r>
            <w:proofErr w:type="spellStart"/>
            <w:r w:rsidR="00E93479" w:rsidRPr="00E93479">
              <w:rPr>
                <w:rFonts w:ascii="Times New Roman" w:hAnsi="Times New Roman" w:cs="Times New Roman"/>
              </w:rPr>
              <w:t>mLegitymacji</w:t>
            </w:r>
            <w:proofErr w:type="spellEnd"/>
            <w:r w:rsidR="00E93479" w:rsidRPr="00E93479">
              <w:rPr>
                <w:rFonts w:ascii="Times New Roman" w:hAnsi="Times New Roman" w:cs="Times New Roman"/>
              </w:rPr>
              <w:t>), który</w:t>
            </w:r>
            <w:r w:rsidR="00500AA6">
              <w:rPr>
                <w:rFonts w:ascii="Times New Roman" w:hAnsi="Times New Roman" w:cs="Times New Roman"/>
              </w:rPr>
              <w:t xml:space="preserve"> </w:t>
            </w:r>
            <w:r w:rsidR="00E93479" w:rsidRPr="00E93479">
              <w:rPr>
                <w:rFonts w:ascii="Times New Roman" w:hAnsi="Times New Roman" w:cs="Times New Roman"/>
              </w:rPr>
              <w:t>został określony wprost, poprzez użycie sformułowania „[n]</w:t>
            </w:r>
            <w:proofErr w:type="spellStart"/>
            <w:r w:rsidR="00E93479" w:rsidRPr="00E93479">
              <w:rPr>
                <w:rFonts w:ascii="Times New Roman" w:hAnsi="Times New Roman" w:cs="Times New Roman"/>
              </w:rPr>
              <w:t>auczycielowi</w:t>
            </w:r>
            <w:proofErr w:type="spellEnd"/>
            <w:r w:rsidR="00E93479" w:rsidRPr="00E93479">
              <w:rPr>
                <w:rFonts w:ascii="Times New Roman" w:hAnsi="Times New Roman" w:cs="Times New Roman"/>
              </w:rPr>
              <w:t xml:space="preserve"> wydaje się</w:t>
            </w:r>
            <w:r w:rsidR="009552A1">
              <w:rPr>
                <w:rFonts w:ascii="Times New Roman" w:hAnsi="Times New Roman" w:cs="Times New Roman"/>
              </w:rPr>
              <w:t xml:space="preserve"> </w:t>
            </w:r>
            <w:r w:rsidR="00E93479" w:rsidRPr="00E93479">
              <w:rPr>
                <w:rFonts w:ascii="Times New Roman" w:hAnsi="Times New Roman" w:cs="Times New Roman"/>
              </w:rPr>
              <w:t>legitymację służbową w postaci dokumentu mobilnego, o którym mowa w art. 2 pkt 7</w:t>
            </w:r>
            <w:r w:rsidR="009552A1">
              <w:rPr>
                <w:rFonts w:ascii="Times New Roman" w:hAnsi="Times New Roman" w:cs="Times New Roman"/>
              </w:rPr>
              <w:t xml:space="preserve"> </w:t>
            </w:r>
            <w:r w:rsidR="00E93479" w:rsidRPr="00E93479">
              <w:rPr>
                <w:rFonts w:ascii="Times New Roman" w:hAnsi="Times New Roman" w:cs="Times New Roman"/>
              </w:rPr>
              <w:t xml:space="preserve">ustawy z </w:t>
            </w:r>
            <w:r w:rsidR="00E93479" w:rsidRPr="00E93479">
              <w:rPr>
                <w:rFonts w:ascii="Times New Roman" w:hAnsi="Times New Roman" w:cs="Times New Roman"/>
              </w:rPr>
              <w:lastRenderedPageBreak/>
              <w:t xml:space="preserve">dnia 26 maja 2023 r. o aplikacji </w:t>
            </w:r>
            <w:proofErr w:type="spellStart"/>
            <w:r w:rsidR="00E93479" w:rsidRPr="00E93479">
              <w:rPr>
                <w:rFonts w:ascii="Times New Roman" w:hAnsi="Times New Roman" w:cs="Times New Roman"/>
              </w:rPr>
              <w:t>mObywatel</w:t>
            </w:r>
            <w:proofErr w:type="spellEnd"/>
            <w:r w:rsidR="00E93479" w:rsidRPr="00E93479">
              <w:rPr>
                <w:rFonts w:ascii="Times New Roman" w:hAnsi="Times New Roman" w:cs="Times New Roman"/>
              </w:rPr>
              <w:t>” (art. 11c</w:t>
            </w:r>
            <w:r w:rsidR="00500AA6">
              <w:rPr>
                <w:rFonts w:ascii="Times New Roman" w:hAnsi="Times New Roman" w:cs="Times New Roman"/>
              </w:rPr>
              <w:t xml:space="preserve"> </w:t>
            </w:r>
            <w:r w:rsidR="00E93479" w:rsidRPr="00E93479">
              <w:rPr>
                <w:rFonts w:ascii="Times New Roman" w:hAnsi="Times New Roman" w:cs="Times New Roman"/>
              </w:rPr>
              <w:t>i art. 11b).</w:t>
            </w:r>
            <w:r w:rsidR="00500AA6">
              <w:rPr>
                <w:rFonts w:ascii="Times New Roman" w:hAnsi="Times New Roman" w:cs="Times New Roman"/>
              </w:rPr>
              <w:t xml:space="preserve"> </w:t>
            </w:r>
            <w:r w:rsidR="00E93479" w:rsidRPr="00E93479">
              <w:rPr>
                <w:rFonts w:ascii="Times New Roman" w:hAnsi="Times New Roman" w:cs="Times New Roman"/>
              </w:rPr>
              <w:t xml:space="preserve">Podobne rozwiązanie przyjęto w art. 42 ustawy o aplikacji </w:t>
            </w:r>
            <w:proofErr w:type="spellStart"/>
            <w:r w:rsidR="00E93479" w:rsidRPr="00E93479">
              <w:rPr>
                <w:rFonts w:ascii="Times New Roman" w:hAnsi="Times New Roman" w:cs="Times New Roman"/>
              </w:rPr>
              <w:t>mObywatel</w:t>
            </w:r>
            <w:proofErr w:type="spellEnd"/>
            <w:r w:rsidR="00E93479" w:rsidRPr="00E93479">
              <w:rPr>
                <w:rFonts w:ascii="Times New Roman" w:hAnsi="Times New Roman" w:cs="Times New Roman"/>
              </w:rPr>
              <w:t xml:space="preserve"> zmieniającym</w:t>
            </w:r>
            <w:r w:rsidR="00500AA6">
              <w:rPr>
                <w:rFonts w:ascii="Times New Roman" w:hAnsi="Times New Roman" w:cs="Times New Roman"/>
              </w:rPr>
              <w:t xml:space="preserve"> </w:t>
            </w:r>
            <w:r w:rsidR="00E93479" w:rsidRPr="00E93479">
              <w:rPr>
                <w:rFonts w:ascii="Times New Roman" w:hAnsi="Times New Roman" w:cs="Times New Roman"/>
              </w:rPr>
              <w:t>przepisy ustawy o zawodach pielęgniarki i położnej, poprzez dodanie możliwości</w:t>
            </w:r>
            <w:r w:rsidR="00500AA6">
              <w:rPr>
                <w:rFonts w:ascii="Times New Roman" w:hAnsi="Times New Roman" w:cs="Times New Roman"/>
              </w:rPr>
              <w:t xml:space="preserve"> </w:t>
            </w:r>
            <w:r w:rsidR="00E93479" w:rsidRPr="00E93479">
              <w:rPr>
                <w:rFonts w:ascii="Times New Roman" w:hAnsi="Times New Roman" w:cs="Times New Roman"/>
              </w:rPr>
              <w:t>wydawania zaświadczeń o prawie wykonywania zawodu również w postaci</w:t>
            </w:r>
            <w:r w:rsidR="009552A1">
              <w:rPr>
                <w:rFonts w:ascii="Times New Roman" w:hAnsi="Times New Roman" w:cs="Times New Roman"/>
              </w:rPr>
              <w:t xml:space="preserve"> </w:t>
            </w:r>
            <w:r w:rsidR="00E93479" w:rsidRPr="00E93479">
              <w:rPr>
                <w:rFonts w:ascii="Times New Roman" w:hAnsi="Times New Roman" w:cs="Times New Roman"/>
              </w:rPr>
              <w:t>dokumentu mobilnego. Także i w tym przypadku forma dokumentu mobilnego</w:t>
            </w:r>
            <w:r w:rsidR="00500AA6">
              <w:rPr>
                <w:rFonts w:ascii="Times New Roman" w:hAnsi="Times New Roman" w:cs="Times New Roman"/>
              </w:rPr>
              <w:t xml:space="preserve"> </w:t>
            </w:r>
            <w:r w:rsidR="00E93479" w:rsidRPr="00E93479">
              <w:rPr>
                <w:rFonts w:ascii="Times New Roman" w:hAnsi="Times New Roman" w:cs="Times New Roman"/>
              </w:rPr>
              <w:t>określona została konkretnie, poprzez sformułowanie „[d]</w:t>
            </w:r>
            <w:proofErr w:type="spellStart"/>
            <w:r w:rsidR="00E93479" w:rsidRPr="00E93479">
              <w:rPr>
                <w:rFonts w:ascii="Times New Roman" w:hAnsi="Times New Roman" w:cs="Times New Roman"/>
              </w:rPr>
              <w:t>okument</w:t>
            </w:r>
            <w:proofErr w:type="spellEnd"/>
            <w:r w:rsidR="00E93479" w:rsidRPr="00E93479">
              <w:rPr>
                <w:rFonts w:ascii="Times New Roman" w:hAnsi="Times New Roman" w:cs="Times New Roman"/>
              </w:rPr>
              <w:t xml:space="preserve"> jest wydawany</w:t>
            </w:r>
            <w:r w:rsidR="00500AA6">
              <w:rPr>
                <w:rFonts w:ascii="Times New Roman" w:hAnsi="Times New Roman" w:cs="Times New Roman"/>
              </w:rPr>
              <w:t xml:space="preserve"> </w:t>
            </w:r>
            <w:r w:rsidR="00E93479" w:rsidRPr="00E93479">
              <w:rPr>
                <w:rFonts w:ascii="Times New Roman" w:hAnsi="Times New Roman" w:cs="Times New Roman"/>
              </w:rPr>
              <w:t>w postaci spersonalizowanej dwustronnej karty identyfikacyjnej, a w</w:t>
            </w:r>
            <w:r w:rsidR="00500AA6">
              <w:rPr>
                <w:rFonts w:ascii="Times New Roman" w:hAnsi="Times New Roman" w:cs="Times New Roman"/>
              </w:rPr>
              <w:t xml:space="preserve"> </w:t>
            </w:r>
            <w:r w:rsidR="00E93479" w:rsidRPr="00E93479">
              <w:rPr>
                <w:rFonts w:ascii="Times New Roman" w:hAnsi="Times New Roman" w:cs="Times New Roman"/>
              </w:rPr>
              <w:t>przypadku osób</w:t>
            </w:r>
            <w:r w:rsidR="00500AA6">
              <w:rPr>
                <w:rFonts w:ascii="Times New Roman" w:hAnsi="Times New Roman" w:cs="Times New Roman"/>
              </w:rPr>
              <w:t xml:space="preserve"> </w:t>
            </w:r>
            <w:r w:rsidR="00E93479" w:rsidRPr="00E93479">
              <w:rPr>
                <w:rFonts w:ascii="Times New Roman" w:hAnsi="Times New Roman" w:cs="Times New Roman"/>
              </w:rPr>
              <w:t>posiadających obywatelstwo polskie może być udostępniany w postaci dokumentu</w:t>
            </w:r>
            <w:r w:rsidR="00500AA6">
              <w:rPr>
                <w:rFonts w:ascii="Times New Roman" w:hAnsi="Times New Roman" w:cs="Times New Roman"/>
              </w:rPr>
              <w:t xml:space="preserve"> </w:t>
            </w:r>
            <w:r w:rsidR="00E93479" w:rsidRPr="00E93479">
              <w:rPr>
                <w:rFonts w:ascii="Times New Roman" w:hAnsi="Times New Roman" w:cs="Times New Roman"/>
              </w:rPr>
              <w:t>mobilnego, o którym mowa w art. 2 pkt 7 ustawy z dnia 26 maja 2023 r. o aplikacji</w:t>
            </w:r>
            <w:r w:rsidR="001B70A7">
              <w:rPr>
                <w:rFonts w:ascii="Times New Roman" w:hAnsi="Times New Roman" w:cs="Times New Roman"/>
              </w:rPr>
              <w:t xml:space="preserve"> </w:t>
            </w:r>
            <w:proofErr w:type="spellStart"/>
            <w:r w:rsidR="00E93479" w:rsidRPr="00E93479">
              <w:rPr>
                <w:rFonts w:ascii="Times New Roman" w:hAnsi="Times New Roman" w:cs="Times New Roman"/>
              </w:rPr>
              <w:t>mObywatel</w:t>
            </w:r>
            <w:proofErr w:type="spellEnd"/>
            <w:r w:rsidR="00E93479" w:rsidRPr="00E93479">
              <w:rPr>
                <w:rFonts w:ascii="Times New Roman" w:hAnsi="Times New Roman" w:cs="Times New Roman"/>
              </w:rPr>
              <w:t>” (art. 41 ust. 1).</w:t>
            </w:r>
          </w:p>
          <w:p w14:paraId="1D00788A" w14:textId="00AE4D51" w:rsidR="00E93479" w:rsidRPr="00E93479" w:rsidRDefault="00E93479" w:rsidP="000568A9">
            <w:pPr>
              <w:jc w:val="both"/>
              <w:rPr>
                <w:rFonts w:ascii="Times New Roman" w:hAnsi="Times New Roman" w:cs="Times New Roman"/>
              </w:rPr>
            </w:pPr>
            <w:r w:rsidRPr="00E93479">
              <w:rPr>
                <w:rFonts w:ascii="Times New Roman" w:hAnsi="Times New Roman" w:cs="Times New Roman"/>
              </w:rPr>
              <w:t>Na podstawie dyspozycji wprowadzonych przepisami ustawy o aplikacji</w:t>
            </w:r>
            <w:r w:rsidR="00500AA6">
              <w:rPr>
                <w:rFonts w:ascii="Times New Roman" w:hAnsi="Times New Roman" w:cs="Times New Roman"/>
              </w:rPr>
              <w:t xml:space="preserve"> </w:t>
            </w:r>
            <w:proofErr w:type="spellStart"/>
            <w:r w:rsidRPr="00E93479">
              <w:rPr>
                <w:rFonts w:ascii="Times New Roman" w:hAnsi="Times New Roman" w:cs="Times New Roman"/>
              </w:rPr>
              <w:t>mObywatel</w:t>
            </w:r>
            <w:proofErr w:type="spellEnd"/>
            <w:r w:rsidRPr="00E93479">
              <w:rPr>
                <w:rFonts w:ascii="Times New Roman" w:hAnsi="Times New Roman" w:cs="Times New Roman"/>
              </w:rPr>
              <w:t xml:space="preserve"> zmieniającymi inne ustawy wnioskować należy, że forma elektroniczna</w:t>
            </w:r>
            <w:r w:rsidR="00500AA6">
              <w:rPr>
                <w:rFonts w:ascii="Times New Roman" w:hAnsi="Times New Roman" w:cs="Times New Roman"/>
              </w:rPr>
              <w:t xml:space="preserve"> </w:t>
            </w:r>
            <w:r w:rsidRPr="00E93479">
              <w:rPr>
                <w:rFonts w:ascii="Times New Roman" w:hAnsi="Times New Roman" w:cs="Times New Roman"/>
              </w:rPr>
              <w:t xml:space="preserve">dokumentu w aplikacji </w:t>
            </w:r>
            <w:proofErr w:type="spellStart"/>
            <w:r w:rsidRPr="00E93479">
              <w:rPr>
                <w:rFonts w:ascii="Times New Roman" w:hAnsi="Times New Roman" w:cs="Times New Roman"/>
              </w:rPr>
              <w:t>mObywatel</w:t>
            </w:r>
            <w:proofErr w:type="spellEnd"/>
            <w:r w:rsidRPr="00E93479">
              <w:rPr>
                <w:rFonts w:ascii="Times New Roman" w:hAnsi="Times New Roman" w:cs="Times New Roman"/>
              </w:rPr>
              <w:t xml:space="preserve"> nie może być formą dorozumianą czy domyślną –</w:t>
            </w:r>
            <w:r w:rsidR="00500AA6">
              <w:rPr>
                <w:rFonts w:ascii="Times New Roman" w:hAnsi="Times New Roman" w:cs="Times New Roman"/>
              </w:rPr>
              <w:t xml:space="preserve"> </w:t>
            </w:r>
            <w:r w:rsidRPr="00E93479">
              <w:rPr>
                <w:rFonts w:ascii="Times New Roman" w:hAnsi="Times New Roman" w:cs="Times New Roman"/>
              </w:rPr>
              <w:t>intencją ustawodawcy, określone dokumenty potwierdzające nadane</w:t>
            </w:r>
            <w:r w:rsidR="00500AA6">
              <w:rPr>
                <w:rFonts w:ascii="Times New Roman" w:hAnsi="Times New Roman" w:cs="Times New Roman"/>
              </w:rPr>
              <w:t xml:space="preserve"> </w:t>
            </w:r>
            <w:r w:rsidRPr="00E93479">
              <w:rPr>
                <w:rFonts w:ascii="Times New Roman" w:hAnsi="Times New Roman" w:cs="Times New Roman"/>
              </w:rPr>
              <w:t>uprawnienia mogą funkcjonować w obiegu prawnym jedynie w przypadku, gdy</w:t>
            </w:r>
            <w:r w:rsidR="00500AA6">
              <w:rPr>
                <w:rFonts w:ascii="Times New Roman" w:hAnsi="Times New Roman" w:cs="Times New Roman"/>
              </w:rPr>
              <w:t xml:space="preserve"> </w:t>
            </w:r>
            <w:r w:rsidRPr="00E93479">
              <w:rPr>
                <w:rFonts w:ascii="Times New Roman" w:hAnsi="Times New Roman" w:cs="Times New Roman"/>
              </w:rPr>
              <w:t>ustanowiona została konkretna norma ustawowa dopuszczająca taką</w:t>
            </w:r>
            <w:r w:rsidR="00500AA6">
              <w:rPr>
                <w:rFonts w:ascii="Times New Roman" w:hAnsi="Times New Roman" w:cs="Times New Roman"/>
              </w:rPr>
              <w:t xml:space="preserve"> </w:t>
            </w:r>
            <w:r w:rsidRPr="00E93479">
              <w:rPr>
                <w:rFonts w:ascii="Times New Roman" w:hAnsi="Times New Roman" w:cs="Times New Roman"/>
              </w:rPr>
              <w:t>możliwość oraz określająca warunki wydania takiego dokumentu. W ocenie</w:t>
            </w:r>
            <w:r w:rsidR="00500AA6">
              <w:rPr>
                <w:rFonts w:ascii="Times New Roman" w:hAnsi="Times New Roman" w:cs="Times New Roman"/>
              </w:rPr>
              <w:t xml:space="preserve"> </w:t>
            </w:r>
            <w:r w:rsidRPr="00E93479">
              <w:rPr>
                <w:rFonts w:ascii="Times New Roman" w:hAnsi="Times New Roman" w:cs="Times New Roman"/>
              </w:rPr>
              <w:t>organu nadzorczego oznacza to, że jeżeli przepis rangi ustawowej wyraźnie nie</w:t>
            </w:r>
            <w:r w:rsidR="00500AA6">
              <w:rPr>
                <w:rFonts w:ascii="Times New Roman" w:hAnsi="Times New Roman" w:cs="Times New Roman"/>
              </w:rPr>
              <w:t xml:space="preserve"> </w:t>
            </w:r>
            <w:r w:rsidRPr="00E93479">
              <w:rPr>
                <w:rFonts w:ascii="Times New Roman" w:hAnsi="Times New Roman" w:cs="Times New Roman"/>
              </w:rPr>
              <w:t>określa, że dokument może być wydany w formie elektronicznej w aplikacji</w:t>
            </w:r>
            <w:r w:rsidR="009552A1">
              <w:rPr>
                <w:rFonts w:ascii="Times New Roman" w:hAnsi="Times New Roman" w:cs="Times New Roman"/>
              </w:rPr>
              <w:t xml:space="preserve"> </w:t>
            </w:r>
            <w:proofErr w:type="spellStart"/>
            <w:r w:rsidRPr="00E93479">
              <w:rPr>
                <w:rFonts w:ascii="Times New Roman" w:hAnsi="Times New Roman" w:cs="Times New Roman"/>
              </w:rPr>
              <w:t>mObywatel</w:t>
            </w:r>
            <w:proofErr w:type="spellEnd"/>
            <w:r w:rsidRPr="00E93479">
              <w:rPr>
                <w:rFonts w:ascii="Times New Roman" w:hAnsi="Times New Roman" w:cs="Times New Roman"/>
              </w:rPr>
              <w:t>, to taka forma dokumentu nie jest dopuszczalna.</w:t>
            </w:r>
          </w:p>
          <w:p w14:paraId="31C61434" w14:textId="3BE57504" w:rsidR="00E93479" w:rsidRPr="00E93479" w:rsidRDefault="00E93479" w:rsidP="000568A9">
            <w:pPr>
              <w:jc w:val="both"/>
              <w:rPr>
                <w:rFonts w:ascii="Times New Roman" w:hAnsi="Times New Roman" w:cs="Times New Roman"/>
              </w:rPr>
            </w:pPr>
            <w:r w:rsidRPr="00E93479">
              <w:rPr>
                <w:rFonts w:ascii="Times New Roman" w:hAnsi="Times New Roman" w:cs="Times New Roman"/>
              </w:rPr>
              <w:t>Projekt rozporządzenia, jako podstawę jego wydania, wskazuje jedynie art. 33</w:t>
            </w:r>
            <w:r w:rsidR="00500AA6">
              <w:rPr>
                <w:rFonts w:ascii="Times New Roman" w:hAnsi="Times New Roman" w:cs="Times New Roman"/>
              </w:rPr>
              <w:t xml:space="preserve"> </w:t>
            </w:r>
            <w:r w:rsidRPr="00E93479">
              <w:rPr>
                <w:rFonts w:ascii="Times New Roman" w:hAnsi="Times New Roman" w:cs="Times New Roman"/>
              </w:rPr>
              <w:t>ust. 4 ustawy o Prokuratorii Generalnej, który – zgodnie z przedstawioną powyżej</w:t>
            </w:r>
            <w:r w:rsidR="00500AA6">
              <w:rPr>
                <w:rFonts w:ascii="Times New Roman" w:hAnsi="Times New Roman" w:cs="Times New Roman"/>
              </w:rPr>
              <w:t xml:space="preserve"> </w:t>
            </w:r>
            <w:r w:rsidRPr="00E93479">
              <w:rPr>
                <w:rFonts w:ascii="Times New Roman" w:hAnsi="Times New Roman" w:cs="Times New Roman"/>
              </w:rPr>
              <w:t>argumentacją – nie może stanowić samodzielnej podstawy do wydawania legitymacji</w:t>
            </w:r>
            <w:r w:rsidR="00500AA6">
              <w:rPr>
                <w:rFonts w:ascii="Times New Roman" w:hAnsi="Times New Roman" w:cs="Times New Roman"/>
              </w:rPr>
              <w:t xml:space="preserve"> </w:t>
            </w:r>
            <w:r w:rsidRPr="00E93479">
              <w:rPr>
                <w:rFonts w:ascii="Times New Roman" w:hAnsi="Times New Roman" w:cs="Times New Roman"/>
              </w:rPr>
              <w:t xml:space="preserve">w formie dokumentu, o którym mowa w art. 2 pkt 7 ustawy o aplikacji </w:t>
            </w:r>
            <w:proofErr w:type="spellStart"/>
            <w:r w:rsidRPr="00E93479">
              <w:rPr>
                <w:rFonts w:ascii="Times New Roman" w:hAnsi="Times New Roman" w:cs="Times New Roman"/>
              </w:rPr>
              <w:t>mObywatel</w:t>
            </w:r>
            <w:proofErr w:type="spellEnd"/>
            <w:r w:rsidRPr="00E93479">
              <w:rPr>
                <w:rFonts w:ascii="Times New Roman" w:hAnsi="Times New Roman" w:cs="Times New Roman"/>
              </w:rPr>
              <w:t>.</w:t>
            </w:r>
            <w:r w:rsidR="009552A1">
              <w:rPr>
                <w:rFonts w:ascii="Times New Roman" w:hAnsi="Times New Roman" w:cs="Times New Roman"/>
              </w:rPr>
              <w:t xml:space="preserve"> </w:t>
            </w:r>
            <w:r w:rsidRPr="00E93479">
              <w:rPr>
                <w:rFonts w:ascii="Times New Roman" w:hAnsi="Times New Roman" w:cs="Times New Roman"/>
              </w:rPr>
              <w:t>W uzasadnieniu do projektu przyjęto stanowisko, że ustawodawca „w art. 15 i art. 16</w:t>
            </w:r>
            <w:r w:rsidR="00500AA6">
              <w:rPr>
                <w:rFonts w:ascii="Times New Roman" w:hAnsi="Times New Roman" w:cs="Times New Roman"/>
              </w:rPr>
              <w:t xml:space="preserve"> </w:t>
            </w:r>
            <w:r w:rsidRPr="00E93479">
              <w:rPr>
                <w:rFonts w:ascii="Times New Roman" w:hAnsi="Times New Roman" w:cs="Times New Roman"/>
              </w:rPr>
              <w:t xml:space="preserve">ustawy z dnia 26 maja 2023 r. o aplikacji </w:t>
            </w:r>
            <w:proofErr w:type="spellStart"/>
            <w:r w:rsidRPr="00E93479">
              <w:rPr>
                <w:rFonts w:ascii="Times New Roman" w:hAnsi="Times New Roman" w:cs="Times New Roman"/>
              </w:rPr>
              <w:t>mObywatel</w:t>
            </w:r>
            <w:proofErr w:type="spellEnd"/>
            <w:r w:rsidR="00500AA6">
              <w:rPr>
                <w:rFonts w:ascii="Times New Roman" w:hAnsi="Times New Roman" w:cs="Times New Roman"/>
              </w:rPr>
              <w:t xml:space="preserve"> </w:t>
            </w:r>
            <w:r w:rsidRPr="00E93479">
              <w:rPr>
                <w:rFonts w:ascii="Times New Roman" w:hAnsi="Times New Roman" w:cs="Times New Roman"/>
              </w:rPr>
              <w:t>przewidział możliwość rozwoju</w:t>
            </w:r>
            <w:r w:rsidR="00500AA6">
              <w:rPr>
                <w:rFonts w:ascii="Times New Roman" w:hAnsi="Times New Roman" w:cs="Times New Roman"/>
              </w:rPr>
              <w:t xml:space="preserve"> </w:t>
            </w:r>
            <w:r w:rsidRPr="00E93479">
              <w:rPr>
                <w:rFonts w:ascii="Times New Roman" w:hAnsi="Times New Roman" w:cs="Times New Roman"/>
              </w:rPr>
              <w:t xml:space="preserve">usług elektronicznych na wniosek różnych </w:t>
            </w:r>
            <w:r w:rsidRPr="00E93479">
              <w:rPr>
                <w:rFonts w:ascii="Times New Roman" w:hAnsi="Times New Roman" w:cs="Times New Roman"/>
              </w:rPr>
              <w:lastRenderedPageBreak/>
              <w:t>podmiotów”. Powyższe przepisy nie mogą</w:t>
            </w:r>
            <w:r w:rsidR="00500AA6">
              <w:rPr>
                <w:rFonts w:ascii="Times New Roman" w:hAnsi="Times New Roman" w:cs="Times New Roman"/>
              </w:rPr>
              <w:t xml:space="preserve"> </w:t>
            </w:r>
            <w:r w:rsidRPr="00E93479">
              <w:rPr>
                <w:rFonts w:ascii="Times New Roman" w:hAnsi="Times New Roman" w:cs="Times New Roman"/>
              </w:rPr>
              <w:t>w żadnym razie stanowić substytutu podstawy prawnej wydania dokumentu w formie</w:t>
            </w:r>
            <w:r w:rsidR="00500AA6">
              <w:rPr>
                <w:rFonts w:ascii="Times New Roman" w:hAnsi="Times New Roman" w:cs="Times New Roman"/>
              </w:rPr>
              <w:t xml:space="preserve"> </w:t>
            </w:r>
            <w:r w:rsidRPr="00E93479">
              <w:rPr>
                <w:rFonts w:ascii="Times New Roman" w:hAnsi="Times New Roman" w:cs="Times New Roman"/>
              </w:rPr>
              <w:t xml:space="preserve">elektronicznej funkcjonującej w aplikacji </w:t>
            </w:r>
            <w:proofErr w:type="spellStart"/>
            <w:r w:rsidRPr="00E93479">
              <w:rPr>
                <w:rFonts w:ascii="Times New Roman" w:hAnsi="Times New Roman" w:cs="Times New Roman"/>
              </w:rPr>
              <w:t>mObywatel</w:t>
            </w:r>
            <w:proofErr w:type="spellEnd"/>
            <w:r w:rsidRPr="00E93479">
              <w:rPr>
                <w:rFonts w:ascii="Times New Roman" w:hAnsi="Times New Roman" w:cs="Times New Roman"/>
              </w:rPr>
              <w:t>. W art. 15 i 16 ww. ustawy</w:t>
            </w:r>
            <w:r w:rsidR="00500AA6">
              <w:rPr>
                <w:rFonts w:ascii="Times New Roman" w:hAnsi="Times New Roman" w:cs="Times New Roman"/>
              </w:rPr>
              <w:t xml:space="preserve"> </w:t>
            </w:r>
            <w:r w:rsidRPr="00E93479">
              <w:rPr>
                <w:rFonts w:ascii="Times New Roman" w:hAnsi="Times New Roman" w:cs="Times New Roman"/>
              </w:rPr>
              <w:t>określono bowiem jedynie bardzo ogólną dyspozycję do zapewnienia</w:t>
            </w:r>
            <w:r w:rsidR="00500AA6">
              <w:rPr>
                <w:rFonts w:ascii="Times New Roman" w:hAnsi="Times New Roman" w:cs="Times New Roman"/>
              </w:rPr>
              <w:t xml:space="preserve"> </w:t>
            </w:r>
            <w:r w:rsidRPr="00E93479">
              <w:rPr>
                <w:rFonts w:ascii="Times New Roman" w:hAnsi="Times New Roman" w:cs="Times New Roman"/>
              </w:rPr>
              <w:t xml:space="preserve">odpowiedniego zaplecza technicznego aplikacji </w:t>
            </w:r>
            <w:proofErr w:type="spellStart"/>
            <w:r w:rsidRPr="00E93479">
              <w:rPr>
                <w:rFonts w:ascii="Times New Roman" w:hAnsi="Times New Roman" w:cs="Times New Roman"/>
              </w:rPr>
              <w:t>mObywatel</w:t>
            </w:r>
            <w:proofErr w:type="spellEnd"/>
            <w:r w:rsidRPr="00E93479">
              <w:rPr>
                <w:rFonts w:ascii="Times New Roman" w:hAnsi="Times New Roman" w:cs="Times New Roman"/>
              </w:rPr>
              <w:t>, umożliwiającego jej</w:t>
            </w:r>
            <w:r w:rsidR="000568A9">
              <w:rPr>
                <w:rFonts w:ascii="Times New Roman" w:hAnsi="Times New Roman" w:cs="Times New Roman"/>
              </w:rPr>
              <w:t xml:space="preserve"> </w:t>
            </w:r>
            <w:r w:rsidRPr="00E93479">
              <w:rPr>
                <w:rFonts w:ascii="Times New Roman" w:hAnsi="Times New Roman" w:cs="Times New Roman"/>
              </w:rPr>
              <w:t>opracowywanie i udostępnianie nowych usług. Usługi te jednak, do ich wdrożenia,</w:t>
            </w:r>
            <w:r w:rsidR="00500AA6">
              <w:rPr>
                <w:rFonts w:ascii="Times New Roman" w:hAnsi="Times New Roman" w:cs="Times New Roman"/>
              </w:rPr>
              <w:t xml:space="preserve"> </w:t>
            </w:r>
            <w:r w:rsidRPr="00E93479">
              <w:rPr>
                <w:rFonts w:ascii="Times New Roman" w:hAnsi="Times New Roman" w:cs="Times New Roman"/>
              </w:rPr>
              <w:t>wciąż wymagają osobnej podstawy prawnej. Wskazuje na to sama treść art. 15</w:t>
            </w:r>
            <w:r w:rsidR="00500AA6">
              <w:rPr>
                <w:rFonts w:ascii="Times New Roman" w:hAnsi="Times New Roman" w:cs="Times New Roman"/>
              </w:rPr>
              <w:t xml:space="preserve"> </w:t>
            </w:r>
            <w:r w:rsidRPr="00E93479">
              <w:rPr>
                <w:rFonts w:ascii="Times New Roman" w:hAnsi="Times New Roman" w:cs="Times New Roman"/>
              </w:rPr>
              <w:t>ust. 1</w:t>
            </w:r>
            <w:r w:rsidR="00500AA6">
              <w:rPr>
                <w:rFonts w:ascii="Times New Roman" w:hAnsi="Times New Roman" w:cs="Times New Roman"/>
              </w:rPr>
              <w:t>,</w:t>
            </w:r>
            <w:r w:rsidRPr="00E93479">
              <w:rPr>
                <w:rFonts w:ascii="Times New Roman" w:hAnsi="Times New Roman" w:cs="Times New Roman"/>
              </w:rPr>
              <w:t xml:space="preserve"> który stanowi, że Minister właściwy do spraw informatyzacji udostępnia</w:t>
            </w:r>
            <w:r w:rsidR="00500AA6">
              <w:rPr>
                <w:rFonts w:ascii="Times New Roman" w:hAnsi="Times New Roman" w:cs="Times New Roman"/>
              </w:rPr>
              <w:t xml:space="preserve"> </w:t>
            </w:r>
            <w:r w:rsidRPr="00E93479">
              <w:rPr>
                <w:rFonts w:ascii="Times New Roman" w:hAnsi="Times New Roman" w:cs="Times New Roman"/>
              </w:rPr>
              <w:t xml:space="preserve">w </w:t>
            </w:r>
            <w:proofErr w:type="spellStart"/>
            <w:r w:rsidRPr="00E93479">
              <w:rPr>
                <w:rFonts w:ascii="Times New Roman" w:hAnsi="Times New Roman" w:cs="Times New Roman"/>
              </w:rPr>
              <w:t>mObywatel</w:t>
            </w:r>
            <w:proofErr w:type="spellEnd"/>
            <w:r w:rsidRPr="00E93479">
              <w:rPr>
                <w:rFonts w:ascii="Times New Roman" w:hAnsi="Times New Roman" w:cs="Times New Roman"/>
              </w:rPr>
              <w:t xml:space="preserve"> usługę „uwzględniając uwarunkowania prawne”. Wymienione</w:t>
            </w:r>
            <w:r w:rsidR="009552A1">
              <w:rPr>
                <w:rFonts w:ascii="Times New Roman" w:hAnsi="Times New Roman" w:cs="Times New Roman"/>
              </w:rPr>
              <w:t xml:space="preserve"> </w:t>
            </w:r>
            <w:r w:rsidRPr="00E93479">
              <w:rPr>
                <w:rFonts w:ascii="Times New Roman" w:hAnsi="Times New Roman" w:cs="Times New Roman"/>
              </w:rPr>
              <w:t>powyżej przepisy w żadnym razie nie mogą być interpretowane jako zawierające</w:t>
            </w:r>
            <w:r w:rsidR="00500AA6">
              <w:rPr>
                <w:rFonts w:ascii="Times New Roman" w:hAnsi="Times New Roman" w:cs="Times New Roman"/>
              </w:rPr>
              <w:t xml:space="preserve"> </w:t>
            </w:r>
            <w:r w:rsidRPr="00E93479">
              <w:rPr>
                <w:rFonts w:ascii="Times New Roman" w:hAnsi="Times New Roman" w:cs="Times New Roman"/>
              </w:rPr>
              <w:t xml:space="preserve">ogólną dyspozycję umożliwiającą digitalizację do środowiska aplikacji </w:t>
            </w:r>
            <w:proofErr w:type="spellStart"/>
            <w:r w:rsidRPr="00E93479">
              <w:rPr>
                <w:rFonts w:ascii="Times New Roman" w:hAnsi="Times New Roman" w:cs="Times New Roman"/>
              </w:rPr>
              <w:t>mObywatel</w:t>
            </w:r>
            <w:proofErr w:type="spellEnd"/>
            <w:r w:rsidR="00500AA6">
              <w:rPr>
                <w:rFonts w:ascii="Times New Roman" w:hAnsi="Times New Roman" w:cs="Times New Roman"/>
              </w:rPr>
              <w:t xml:space="preserve"> </w:t>
            </w:r>
            <w:r w:rsidRPr="00E93479">
              <w:rPr>
                <w:rFonts w:ascii="Times New Roman" w:hAnsi="Times New Roman" w:cs="Times New Roman"/>
              </w:rPr>
              <w:t>wszelkich, dowolnych dokumentów, bez względu na ich znaczenie, treść, czy</w:t>
            </w:r>
            <w:r w:rsidR="00500AA6">
              <w:rPr>
                <w:rFonts w:ascii="Times New Roman" w:hAnsi="Times New Roman" w:cs="Times New Roman"/>
              </w:rPr>
              <w:t xml:space="preserve"> </w:t>
            </w:r>
            <w:r w:rsidRPr="00E93479">
              <w:rPr>
                <w:rFonts w:ascii="Times New Roman" w:hAnsi="Times New Roman" w:cs="Times New Roman"/>
              </w:rPr>
              <w:t>otoczenie prawne. Przepisy te określają jedynie procedurę techniczno-organizacyjną</w:t>
            </w:r>
            <w:r w:rsidR="00500AA6">
              <w:rPr>
                <w:rFonts w:ascii="Times New Roman" w:hAnsi="Times New Roman" w:cs="Times New Roman"/>
              </w:rPr>
              <w:t xml:space="preserve"> </w:t>
            </w:r>
            <w:r w:rsidRPr="00E93479">
              <w:rPr>
                <w:rFonts w:ascii="Times New Roman" w:hAnsi="Times New Roman" w:cs="Times New Roman"/>
              </w:rPr>
              <w:t>umożliwiającą świadczenie e-usługi. To jednak, czy taka usługa w ogólne może być</w:t>
            </w:r>
            <w:r w:rsidR="00500AA6">
              <w:rPr>
                <w:rFonts w:ascii="Times New Roman" w:hAnsi="Times New Roman" w:cs="Times New Roman"/>
              </w:rPr>
              <w:t xml:space="preserve"> </w:t>
            </w:r>
            <w:r w:rsidRPr="00E93479">
              <w:rPr>
                <w:rFonts w:ascii="Times New Roman" w:hAnsi="Times New Roman" w:cs="Times New Roman"/>
              </w:rPr>
              <w:t>świadczona w ocenie organu nadzorczego wymaga odrębnych uregulowań.</w:t>
            </w:r>
          </w:p>
          <w:p w14:paraId="5892D0D1" w14:textId="4A2289E9" w:rsidR="00E93479" w:rsidRPr="00E93479" w:rsidRDefault="00E93479" w:rsidP="000568A9">
            <w:pPr>
              <w:jc w:val="both"/>
              <w:rPr>
                <w:rFonts w:ascii="Times New Roman" w:hAnsi="Times New Roman" w:cs="Times New Roman"/>
              </w:rPr>
            </w:pPr>
            <w:r w:rsidRPr="00E93479">
              <w:rPr>
                <w:rFonts w:ascii="Times New Roman" w:hAnsi="Times New Roman" w:cs="Times New Roman"/>
              </w:rPr>
              <w:t>W uzasadnieniu projektodawca wskazuje, że zakładana regulacja w postaci</w:t>
            </w:r>
            <w:r w:rsidR="00500AA6">
              <w:rPr>
                <w:rFonts w:ascii="Times New Roman" w:hAnsi="Times New Roman" w:cs="Times New Roman"/>
              </w:rPr>
              <w:t xml:space="preserve"> </w:t>
            </w:r>
            <w:r w:rsidRPr="00E93479">
              <w:rPr>
                <w:rFonts w:ascii="Times New Roman" w:hAnsi="Times New Roman" w:cs="Times New Roman"/>
              </w:rPr>
              <w:t>wprowadzenia możliwości wydawania dokumentów legitymacji także w aplikacji</w:t>
            </w:r>
            <w:r w:rsidR="00500AA6">
              <w:rPr>
                <w:rFonts w:ascii="Times New Roman" w:hAnsi="Times New Roman" w:cs="Times New Roman"/>
              </w:rPr>
              <w:t xml:space="preserve"> </w:t>
            </w:r>
            <w:proofErr w:type="spellStart"/>
            <w:r w:rsidRPr="00E93479">
              <w:rPr>
                <w:rFonts w:ascii="Times New Roman" w:hAnsi="Times New Roman" w:cs="Times New Roman"/>
              </w:rPr>
              <w:t>mObywatel</w:t>
            </w:r>
            <w:proofErr w:type="spellEnd"/>
            <w:r w:rsidRPr="00E93479">
              <w:rPr>
                <w:rFonts w:ascii="Times New Roman" w:hAnsi="Times New Roman" w:cs="Times New Roman"/>
              </w:rPr>
              <w:t xml:space="preserve"> jest „pożądana ze względów praktycznych, szczególnie ze względu na</w:t>
            </w:r>
            <w:r w:rsidR="00500AA6">
              <w:rPr>
                <w:rFonts w:ascii="Times New Roman" w:hAnsi="Times New Roman" w:cs="Times New Roman"/>
              </w:rPr>
              <w:t xml:space="preserve"> </w:t>
            </w:r>
            <w:r w:rsidRPr="00E93479">
              <w:rPr>
                <w:rFonts w:ascii="Times New Roman" w:hAnsi="Times New Roman" w:cs="Times New Roman"/>
              </w:rPr>
              <w:t>łatwiejszą możliwość dostosowania rozwiązań do</w:t>
            </w:r>
            <w:r w:rsidR="009552A1">
              <w:rPr>
                <w:rFonts w:ascii="Times New Roman" w:hAnsi="Times New Roman" w:cs="Times New Roman"/>
              </w:rPr>
              <w:t xml:space="preserve"> </w:t>
            </w:r>
            <w:r w:rsidRPr="00E93479">
              <w:rPr>
                <w:rFonts w:ascii="Times New Roman" w:hAnsi="Times New Roman" w:cs="Times New Roman"/>
              </w:rPr>
              <w:t>aktualnych potrzeb użytkowników</w:t>
            </w:r>
            <w:r w:rsidR="00500AA6">
              <w:rPr>
                <w:rFonts w:ascii="Times New Roman" w:hAnsi="Times New Roman" w:cs="Times New Roman"/>
              </w:rPr>
              <w:t xml:space="preserve"> </w:t>
            </w:r>
            <w:r w:rsidRPr="00E93479">
              <w:rPr>
                <w:rFonts w:ascii="Times New Roman" w:hAnsi="Times New Roman" w:cs="Times New Roman"/>
              </w:rPr>
              <w:t>i nowych możliwości technicznych”. Organ nadzorczy nie kwestionuje praktyczności</w:t>
            </w:r>
            <w:r w:rsidR="00500AA6">
              <w:rPr>
                <w:rFonts w:ascii="Times New Roman" w:hAnsi="Times New Roman" w:cs="Times New Roman"/>
              </w:rPr>
              <w:t xml:space="preserve"> </w:t>
            </w:r>
            <w:r w:rsidRPr="00E93479">
              <w:rPr>
                <w:rFonts w:ascii="Times New Roman" w:hAnsi="Times New Roman" w:cs="Times New Roman"/>
              </w:rPr>
              <w:t>takiego rozwiązania. Jego rolą nie jest sprzeciwianie się samej idei funkcjonowania</w:t>
            </w:r>
            <w:r w:rsidR="00500AA6">
              <w:rPr>
                <w:rFonts w:ascii="Times New Roman" w:hAnsi="Times New Roman" w:cs="Times New Roman"/>
              </w:rPr>
              <w:t xml:space="preserve"> </w:t>
            </w:r>
            <w:r w:rsidRPr="00E93479">
              <w:rPr>
                <w:rFonts w:ascii="Times New Roman" w:hAnsi="Times New Roman" w:cs="Times New Roman"/>
              </w:rPr>
              <w:t>karty identyfikacyjnej radców</w:t>
            </w:r>
            <w:r w:rsidR="009552A1">
              <w:rPr>
                <w:rFonts w:ascii="Times New Roman" w:hAnsi="Times New Roman" w:cs="Times New Roman"/>
              </w:rPr>
              <w:t xml:space="preserve"> </w:t>
            </w:r>
            <w:r w:rsidRPr="00E93479">
              <w:rPr>
                <w:rFonts w:ascii="Times New Roman" w:hAnsi="Times New Roman" w:cs="Times New Roman"/>
              </w:rPr>
              <w:t>Prokuratorii Generalnej w formie elektronicznej.</w:t>
            </w:r>
            <w:r w:rsidR="000568A9">
              <w:rPr>
                <w:rFonts w:ascii="Times New Roman" w:hAnsi="Times New Roman" w:cs="Times New Roman"/>
              </w:rPr>
              <w:t xml:space="preserve"> </w:t>
            </w:r>
            <w:r w:rsidRPr="00E93479">
              <w:rPr>
                <w:rFonts w:ascii="Times New Roman" w:hAnsi="Times New Roman" w:cs="Times New Roman"/>
              </w:rPr>
              <w:t>Niemniej, sama przydatność danego rozwiązania nie powinna zastępować braku</w:t>
            </w:r>
            <w:r w:rsidR="00500AA6">
              <w:rPr>
                <w:rFonts w:ascii="Times New Roman" w:hAnsi="Times New Roman" w:cs="Times New Roman"/>
              </w:rPr>
              <w:t xml:space="preserve"> </w:t>
            </w:r>
            <w:r w:rsidRPr="00E93479">
              <w:rPr>
                <w:rFonts w:ascii="Times New Roman" w:hAnsi="Times New Roman" w:cs="Times New Roman"/>
              </w:rPr>
              <w:t>wymaganej regulacji ustawowej. Legitymacje służbowe Prezesa Prokuratorii</w:t>
            </w:r>
            <w:r w:rsidR="00500AA6">
              <w:rPr>
                <w:rFonts w:ascii="Times New Roman" w:hAnsi="Times New Roman" w:cs="Times New Roman"/>
              </w:rPr>
              <w:t xml:space="preserve"> </w:t>
            </w:r>
            <w:r w:rsidRPr="00E93479">
              <w:rPr>
                <w:rFonts w:ascii="Times New Roman" w:hAnsi="Times New Roman" w:cs="Times New Roman"/>
              </w:rPr>
              <w:t>Generalnej, Wiceprezesa Prokuratorii Generalnej oraz radców Prokuratorii</w:t>
            </w:r>
            <w:r w:rsidR="000568A9">
              <w:rPr>
                <w:rFonts w:ascii="Times New Roman" w:hAnsi="Times New Roman" w:cs="Times New Roman"/>
              </w:rPr>
              <w:t xml:space="preserve"> </w:t>
            </w:r>
            <w:r w:rsidRPr="00E93479">
              <w:rPr>
                <w:rFonts w:ascii="Times New Roman" w:hAnsi="Times New Roman" w:cs="Times New Roman"/>
              </w:rPr>
              <w:t>Generalnej mają doniosłe znaczenie z punktu widzenia zawartych w tych</w:t>
            </w:r>
            <w:r w:rsidR="00500AA6">
              <w:rPr>
                <w:rFonts w:ascii="Times New Roman" w:hAnsi="Times New Roman" w:cs="Times New Roman"/>
              </w:rPr>
              <w:t xml:space="preserve"> </w:t>
            </w:r>
            <w:r w:rsidRPr="00E93479">
              <w:rPr>
                <w:rFonts w:ascii="Times New Roman" w:hAnsi="Times New Roman" w:cs="Times New Roman"/>
              </w:rPr>
              <w:t xml:space="preserve">dokumentach treści i ich </w:t>
            </w:r>
            <w:r w:rsidRPr="00E93479">
              <w:rPr>
                <w:rFonts w:ascii="Times New Roman" w:hAnsi="Times New Roman" w:cs="Times New Roman"/>
              </w:rPr>
              <w:lastRenderedPageBreak/>
              <w:t>prawnego znaczenia, ale też przetwarzanych danych</w:t>
            </w:r>
            <w:r w:rsidR="00500AA6">
              <w:rPr>
                <w:rFonts w:ascii="Times New Roman" w:hAnsi="Times New Roman" w:cs="Times New Roman"/>
              </w:rPr>
              <w:t xml:space="preserve"> </w:t>
            </w:r>
            <w:r w:rsidRPr="00E93479">
              <w:rPr>
                <w:rFonts w:ascii="Times New Roman" w:hAnsi="Times New Roman" w:cs="Times New Roman"/>
              </w:rPr>
              <w:t>osobowych ww. funkcjonariuszy. Forma tak istotnego dokumentu nie powinna</w:t>
            </w:r>
            <w:r w:rsidR="00500AA6">
              <w:rPr>
                <w:rFonts w:ascii="Times New Roman" w:hAnsi="Times New Roman" w:cs="Times New Roman"/>
              </w:rPr>
              <w:t xml:space="preserve"> </w:t>
            </w:r>
            <w:r w:rsidRPr="00E93479">
              <w:rPr>
                <w:rFonts w:ascii="Times New Roman" w:hAnsi="Times New Roman" w:cs="Times New Roman"/>
              </w:rPr>
              <w:t>opierać się na domniemaniu, ale na konkretnej, przejrzystej podstawie prawnej</w:t>
            </w:r>
            <w:r w:rsidR="00500AA6">
              <w:rPr>
                <w:rFonts w:ascii="Times New Roman" w:hAnsi="Times New Roman" w:cs="Times New Roman"/>
              </w:rPr>
              <w:t xml:space="preserve"> </w:t>
            </w:r>
            <w:r w:rsidRPr="00E93479">
              <w:rPr>
                <w:rFonts w:ascii="Times New Roman" w:hAnsi="Times New Roman" w:cs="Times New Roman"/>
              </w:rPr>
              <w:t>rangi ustawowej, mając w szczególności na względzie charakter projektowanej</w:t>
            </w:r>
            <w:r w:rsidR="00500AA6">
              <w:rPr>
                <w:rFonts w:ascii="Times New Roman" w:hAnsi="Times New Roman" w:cs="Times New Roman"/>
              </w:rPr>
              <w:t xml:space="preserve"> </w:t>
            </w:r>
            <w:r w:rsidRPr="00E93479">
              <w:rPr>
                <w:rFonts w:ascii="Times New Roman" w:hAnsi="Times New Roman" w:cs="Times New Roman"/>
              </w:rPr>
              <w:t>regulacji, która odnosi się do działalności podmiotów publicznych, które związane</w:t>
            </w:r>
            <w:r w:rsidR="00500AA6">
              <w:rPr>
                <w:rFonts w:ascii="Times New Roman" w:hAnsi="Times New Roman" w:cs="Times New Roman"/>
              </w:rPr>
              <w:t xml:space="preserve"> </w:t>
            </w:r>
            <w:r w:rsidRPr="00E93479">
              <w:rPr>
                <w:rFonts w:ascii="Times New Roman" w:hAnsi="Times New Roman" w:cs="Times New Roman"/>
              </w:rPr>
              <w:t>konstytucyjną zasadą legalizmu zobowiązane są do działania na podstawie</w:t>
            </w:r>
            <w:r w:rsidR="00500AA6">
              <w:rPr>
                <w:rFonts w:ascii="Times New Roman" w:hAnsi="Times New Roman" w:cs="Times New Roman"/>
              </w:rPr>
              <w:t xml:space="preserve"> </w:t>
            </w:r>
            <w:r w:rsidRPr="00E93479">
              <w:rPr>
                <w:rFonts w:ascii="Times New Roman" w:hAnsi="Times New Roman" w:cs="Times New Roman"/>
              </w:rPr>
              <w:t>i w granicach prawa. Z tych względów,</w:t>
            </w:r>
            <w:r w:rsidR="00500AA6">
              <w:rPr>
                <w:rFonts w:ascii="Times New Roman" w:hAnsi="Times New Roman" w:cs="Times New Roman"/>
              </w:rPr>
              <w:t xml:space="preserve"> </w:t>
            </w:r>
            <w:r w:rsidRPr="00E93479">
              <w:rPr>
                <w:rFonts w:ascii="Times New Roman" w:hAnsi="Times New Roman" w:cs="Times New Roman"/>
              </w:rPr>
              <w:t>implementacja rozwiązań cyfrowych powinna</w:t>
            </w:r>
            <w:r w:rsidR="009552A1">
              <w:rPr>
                <w:rFonts w:ascii="Times New Roman" w:hAnsi="Times New Roman" w:cs="Times New Roman"/>
              </w:rPr>
              <w:t xml:space="preserve"> </w:t>
            </w:r>
            <w:r w:rsidRPr="00E93479">
              <w:rPr>
                <w:rFonts w:ascii="Times New Roman" w:hAnsi="Times New Roman" w:cs="Times New Roman"/>
              </w:rPr>
              <w:t>podlegać szczególnej roztropności, a organ nadzorczy zgłaszając przedstawione</w:t>
            </w:r>
            <w:r w:rsidR="00500AA6">
              <w:rPr>
                <w:rFonts w:ascii="Times New Roman" w:hAnsi="Times New Roman" w:cs="Times New Roman"/>
              </w:rPr>
              <w:t xml:space="preserve"> </w:t>
            </w:r>
            <w:r w:rsidRPr="00E93479">
              <w:rPr>
                <w:rFonts w:ascii="Times New Roman" w:hAnsi="Times New Roman" w:cs="Times New Roman"/>
              </w:rPr>
              <w:t>wątpliwości rozwadze projektodawcy poddaje zagrożenie związane z możliwością</w:t>
            </w:r>
            <w:r w:rsidR="00500AA6">
              <w:rPr>
                <w:rFonts w:ascii="Times New Roman" w:hAnsi="Times New Roman" w:cs="Times New Roman"/>
              </w:rPr>
              <w:t xml:space="preserve"> </w:t>
            </w:r>
            <w:r w:rsidRPr="00E93479">
              <w:rPr>
                <w:rFonts w:ascii="Times New Roman" w:hAnsi="Times New Roman" w:cs="Times New Roman"/>
              </w:rPr>
              <w:t>wykroczenia przez projektowane rozwiązania poza zakres delegacji określonej w art.</w:t>
            </w:r>
            <w:r w:rsidR="00500AA6">
              <w:rPr>
                <w:rFonts w:ascii="Times New Roman" w:hAnsi="Times New Roman" w:cs="Times New Roman"/>
              </w:rPr>
              <w:t xml:space="preserve"> </w:t>
            </w:r>
            <w:r w:rsidRPr="00E93479">
              <w:rPr>
                <w:rFonts w:ascii="Times New Roman" w:hAnsi="Times New Roman" w:cs="Times New Roman"/>
              </w:rPr>
              <w:t>33 ust. 4 ustawy o Prokuratorii Generalnej.</w:t>
            </w:r>
          </w:p>
        </w:tc>
        <w:tc>
          <w:tcPr>
            <w:tcW w:w="3509" w:type="dxa"/>
          </w:tcPr>
          <w:p w14:paraId="689A803D" w14:textId="603E290E" w:rsidR="00D862B7" w:rsidRPr="00D862B7" w:rsidRDefault="00D862B7" w:rsidP="000568A9">
            <w:pPr>
              <w:jc w:val="both"/>
              <w:rPr>
                <w:rFonts w:ascii="Times New Roman" w:hAnsi="Times New Roman" w:cs="Times New Roman"/>
                <w:b/>
                <w:bCs/>
              </w:rPr>
            </w:pPr>
            <w:r w:rsidRPr="00731B4C">
              <w:rPr>
                <w:rFonts w:ascii="Times New Roman" w:hAnsi="Times New Roman" w:cs="Times New Roman"/>
                <w:b/>
                <w:bCs/>
              </w:rPr>
              <w:lastRenderedPageBreak/>
              <w:t>Uwaga nieuwzględniona.</w:t>
            </w:r>
          </w:p>
          <w:p w14:paraId="151E0832" w14:textId="7FB1F1E9" w:rsidR="00E36964" w:rsidRPr="00E36964" w:rsidRDefault="00E36964" w:rsidP="000568A9">
            <w:pPr>
              <w:jc w:val="both"/>
              <w:rPr>
                <w:rFonts w:ascii="Times New Roman" w:hAnsi="Times New Roman" w:cs="Times New Roman"/>
              </w:rPr>
            </w:pPr>
            <w:r w:rsidRPr="00E36964">
              <w:rPr>
                <w:rFonts w:ascii="Times New Roman" w:hAnsi="Times New Roman" w:cs="Times New Roman"/>
              </w:rPr>
              <w:t xml:space="preserve">W odniesieniu do sposobu wykonania upoważnienia ustawowego wynikającego z art. 33 ust. 4 ustawy o Prokuratorii Generalnej Rzeczypospolitej Polskiej przede wszystkim należy zwrócić uwagę na podział materii regulowanej aktami prawa powszechnie obowiązującego na materię ustawową i materię wykonawczą. Najogólniej rzecz ujmując materia ustawowa to sprawy najistotniejsze z punktu widzenia obywatela (w tym jego prawa i obowiązki) oraz funkcjonowania państwa (w tym kwestie ustrojowe). Obejmuje ona zatem regulacje dotyczące w szczególności korzystania przez obywateli z praw i wolności, władczych form działania organów administracji publicznej wobec obywateli, a także praw i obowiązków organów administracji i obywateli w ramach stosunków publicznoprawnych. Rozporządzenia powinny technicznie umożliwiać wykonywanie ustawy, a co za tym </w:t>
            </w:r>
            <w:r w:rsidRPr="00E36964">
              <w:rPr>
                <w:rFonts w:ascii="Times New Roman" w:hAnsi="Times New Roman" w:cs="Times New Roman"/>
              </w:rPr>
              <w:lastRenderedPageBreak/>
              <w:t>idzie mogą dotyczyć wyłącznie spraw wchodzących w zakres danej ustawy upoważaniającej oraz powinny dotyczyć czynności i spraw technicznych, organizacyjnych lub ulegających częstym zmianom. Uregulowanie materii wykonawczej w ustawie nie jest formalnie błędem (wadliwa jest sytuacja odwrotna), ale taki zabieg nie czyni tej materii ustawową. Nadal pozostaje ona materią wykonawczą, powstaje jednak na gruncie innych ustaw systemowa wątpliwość, jak kwalifikować materię jako ustawową i wykonawczą.</w:t>
            </w:r>
          </w:p>
          <w:p w14:paraId="3C2D281A" w14:textId="3E0CCF2A" w:rsidR="00E36964" w:rsidRPr="00E36964" w:rsidRDefault="00E36964" w:rsidP="000568A9">
            <w:pPr>
              <w:jc w:val="both"/>
              <w:rPr>
                <w:rFonts w:ascii="Times New Roman" w:hAnsi="Times New Roman" w:cs="Times New Roman"/>
              </w:rPr>
            </w:pPr>
            <w:r w:rsidRPr="00E36964">
              <w:rPr>
                <w:rFonts w:ascii="Times New Roman" w:hAnsi="Times New Roman" w:cs="Times New Roman"/>
              </w:rPr>
              <w:t>Postać legitymacji to materia, która nie powinna być regulowana ustawą. Jest to materia ściśle techniczna, która ma charakter typowo wykonawczy i powinna podlegać regulacji na poziomie rozporządzenia. Na poziomie ustawy o Prokuratorii Generalnej Rzeczypospolitej Polskiej uregulowano</w:t>
            </w:r>
            <w:r>
              <w:rPr>
                <w:rFonts w:ascii="Times New Roman" w:hAnsi="Times New Roman" w:cs="Times New Roman"/>
              </w:rPr>
              <w:t xml:space="preserve"> </w:t>
            </w:r>
            <w:r w:rsidRPr="00E36964">
              <w:rPr>
                <w:rFonts w:ascii="Times New Roman" w:hAnsi="Times New Roman" w:cs="Times New Roman"/>
              </w:rPr>
              <w:t xml:space="preserve">kwestię zasadniczą, tj. konieczność posługiwania się przez określone osoby legitymacjami służbowymi w określonych warunkach (przy wykonywaniu czynności zastępstwa). Stanowi o tym art. 33 ustawy, który jest podstawą funkcjonowania legitymacji służbowych w obiegu prawnym. Ustawodawca nie </w:t>
            </w:r>
            <w:r w:rsidRPr="00E36964">
              <w:rPr>
                <w:rFonts w:ascii="Times New Roman" w:hAnsi="Times New Roman" w:cs="Times New Roman"/>
              </w:rPr>
              <w:lastRenderedPageBreak/>
              <w:t>przesądził, w jakiej postaci taki dokument ma występować. W związku z tym uznać należy, że określenie „legitymacja służbowa” użyte w art. 33 ustawy konsumuje każdą postać tego dokumentu i wykonując upoważnienie należy uwzględnić postać elektroniczną legitymacji, skoro ustawa nie wprowadza ograniczeń w tym zakresie i istnieją nowe techniczne możliwości co do postaci, w jakiej dokument może być udostępniony użytkownikom.</w:t>
            </w:r>
          </w:p>
          <w:p w14:paraId="2B68414B" w14:textId="048CC105" w:rsidR="00E36964" w:rsidRPr="00E36964" w:rsidRDefault="00E36964" w:rsidP="000568A9">
            <w:pPr>
              <w:jc w:val="both"/>
              <w:rPr>
                <w:rFonts w:ascii="Times New Roman" w:hAnsi="Times New Roman" w:cs="Times New Roman"/>
              </w:rPr>
            </w:pPr>
            <w:r w:rsidRPr="00E36964">
              <w:rPr>
                <w:rFonts w:ascii="Times New Roman" w:hAnsi="Times New Roman" w:cs="Times New Roman"/>
              </w:rPr>
              <w:t>Niewskazanie w ustawie</w:t>
            </w:r>
            <w:r>
              <w:rPr>
                <w:rFonts w:ascii="Times New Roman" w:hAnsi="Times New Roman" w:cs="Times New Roman"/>
              </w:rPr>
              <w:t xml:space="preserve"> </w:t>
            </w:r>
            <w:r w:rsidRPr="00E36964">
              <w:rPr>
                <w:rFonts w:ascii="Times New Roman" w:hAnsi="Times New Roman" w:cs="Times New Roman"/>
              </w:rPr>
              <w:t xml:space="preserve">konkretnych możliwości technicznych jej wykonania, w tym nowych, dostępnych postaci dokumentu, nie powinno przesądzać o tym, że nie można z nich korzystać. To właśnie akt wykonawczy powinien brać pod uwagę występujące w danym momencie techniczne możliwości wykonania ustawy. Przy dynamicznym rozwoju technologicznym detalizowanie w ustawie kwestii takich jak postać dokumentu tworzy nieuzasadnione ograniczenia w obszarze materii wykonawczej i skutkuje nadmiarową intensyfikacją prac legislacyjnych. Odmienny tok rozumowania musiałby prowadzić do konkluzji, że w stanie prawnym sprzed wejścia w życie ustawy o aplikacji </w:t>
            </w:r>
            <w:proofErr w:type="spellStart"/>
            <w:r w:rsidRPr="00E36964">
              <w:rPr>
                <w:rFonts w:ascii="Times New Roman" w:hAnsi="Times New Roman" w:cs="Times New Roman"/>
              </w:rPr>
              <w:t>mObywatel</w:t>
            </w:r>
            <w:proofErr w:type="spellEnd"/>
            <w:r w:rsidRPr="00E36964">
              <w:rPr>
                <w:rFonts w:ascii="Times New Roman" w:hAnsi="Times New Roman" w:cs="Times New Roman"/>
              </w:rPr>
              <w:t xml:space="preserve"> </w:t>
            </w:r>
            <w:r w:rsidRPr="00E36964">
              <w:rPr>
                <w:rFonts w:ascii="Times New Roman" w:hAnsi="Times New Roman" w:cs="Times New Roman"/>
              </w:rPr>
              <w:lastRenderedPageBreak/>
              <w:t xml:space="preserve">która określiła ramy funkcjonowania dokumentów mobilnych, także nie było możliwe określenie wzoru legitymacji służbowej w postaci spersonalizowanej karty w ramach upoważnienia zawartego w art. 33 ust. 4 ustawy o Prokuratorii Generalnej Rzeczypospolitej Polskiej, skoro ustawodawca nie wskazał, jaką postać ma mieć legitymacja służbowa. </w:t>
            </w:r>
          </w:p>
          <w:p w14:paraId="1361C74F" w14:textId="599D9789" w:rsidR="00FF2B3E" w:rsidRPr="00E93479" w:rsidRDefault="00E36964" w:rsidP="000568A9">
            <w:pPr>
              <w:jc w:val="both"/>
              <w:rPr>
                <w:rFonts w:ascii="Times New Roman" w:hAnsi="Times New Roman" w:cs="Times New Roman"/>
              </w:rPr>
            </w:pPr>
            <w:r w:rsidRPr="00E36964">
              <w:rPr>
                <w:rFonts w:ascii="Times New Roman" w:hAnsi="Times New Roman" w:cs="Times New Roman"/>
              </w:rPr>
              <w:t>Podsumowując, przepisy ustawy o Prokuratorii Generalnej Rzeczypospolitej Polskiej nie regulują postaci, w jakiej legitymacje służbowe mają być wydawane. Rozwiązania w tym zakresie mają jednak charakter czysto techniczny i ich regulacja na poziomie przepisów wykonawczych jest nie tylko dopuszczalna, ale nawet pożądana ze względów praktycznych, szczególnie ze względu na łatwiejszą możliwość dostosowania rozwiązań do aktualnych potrzeb użytkowników i nowych możliwości technicznych.</w:t>
            </w:r>
          </w:p>
        </w:tc>
      </w:tr>
    </w:tbl>
    <w:p w14:paraId="593F7D48" w14:textId="77777777" w:rsidR="00A02A49" w:rsidRDefault="00A02A49"/>
    <w:sectPr w:rsidR="00A02A49" w:rsidSect="00FF2B3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ChangesUpdateDate" w:val="2025-07-24"/>
    <w:docVar w:name="LE_Links" w:val="{BB713013-4C87-48DF-8ED7-4620A2908C5F}"/>
  </w:docVars>
  <w:rsids>
    <w:rsidRoot w:val="00FF2B3E"/>
    <w:rsid w:val="000568A9"/>
    <w:rsid w:val="001B70A7"/>
    <w:rsid w:val="002C3839"/>
    <w:rsid w:val="00354215"/>
    <w:rsid w:val="00500AA6"/>
    <w:rsid w:val="005C69A6"/>
    <w:rsid w:val="006B7C22"/>
    <w:rsid w:val="00725B9C"/>
    <w:rsid w:val="009552A1"/>
    <w:rsid w:val="009E5BDD"/>
    <w:rsid w:val="00A009F6"/>
    <w:rsid w:val="00A02A49"/>
    <w:rsid w:val="00A06E8A"/>
    <w:rsid w:val="00BD4631"/>
    <w:rsid w:val="00D862B7"/>
    <w:rsid w:val="00E36964"/>
    <w:rsid w:val="00E93479"/>
    <w:rsid w:val="00FF2B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391E4"/>
  <w15:chartTrackingRefBased/>
  <w15:docId w15:val="{6B53FC92-EEED-41FD-AEC6-C0BB4976C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2B3E"/>
  </w:style>
  <w:style w:type="paragraph" w:styleId="Nagwek1">
    <w:name w:val="heading 1"/>
    <w:basedOn w:val="Normalny"/>
    <w:next w:val="Normalny"/>
    <w:link w:val="Nagwek1Znak"/>
    <w:uiPriority w:val="9"/>
    <w:qFormat/>
    <w:rsid w:val="00FF2B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F2B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F2B3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F2B3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F2B3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F2B3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F2B3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F2B3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F2B3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F2B3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F2B3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F2B3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F2B3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F2B3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F2B3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F2B3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F2B3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F2B3E"/>
    <w:rPr>
      <w:rFonts w:eastAsiaTheme="majorEastAsia" w:cstheme="majorBidi"/>
      <w:color w:val="272727" w:themeColor="text1" w:themeTint="D8"/>
    </w:rPr>
  </w:style>
  <w:style w:type="paragraph" w:styleId="Tytu">
    <w:name w:val="Title"/>
    <w:basedOn w:val="Normalny"/>
    <w:next w:val="Normalny"/>
    <w:link w:val="TytuZnak"/>
    <w:uiPriority w:val="10"/>
    <w:qFormat/>
    <w:rsid w:val="00FF2B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F2B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F2B3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F2B3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F2B3E"/>
    <w:pPr>
      <w:spacing w:before="160"/>
      <w:jc w:val="center"/>
    </w:pPr>
    <w:rPr>
      <w:i/>
      <w:iCs/>
      <w:color w:val="404040" w:themeColor="text1" w:themeTint="BF"/>
    </w:rPr>
  </w:style>
  <w:style w:type="character" w:customStyle="1" w:styleId="CytatZnak">
    <w:name w:val="Cytat Znak"/>
    <w:basedOn w:val="Domylnaczcionkaakapitu"/>
    <w:link w:val="Cytat"/>
    <w:uiPriority w:val="29"/>
    <w:rsid w:val="00FF2B3E"/>
    <w:rPr>
      <w:i/>
      <w:iCs/>
      <w:color w:val="404040" w:themeColor="text1" w:themeTint="BF"/>
    </w:rPr>
  </w:style>
  <w:style w:type="paragraph" w:styleId="Akapitzlist">
    <w:name w:val="List Paragraph"/>
    <w:basedOn w:val="Normalny"/>
    <w:uiPriority w:val="34"/>
    <w:qFormat/>
    <w:rsid w:val="00FF2B3E"/>
    <w:pPr>
      <w:ind w:left="720"/>
      <w:contextualSpacing/>
    </w:pPr>
  </w:style>
  <w:style w:type="character" w:styleId="Wyrnienieintensywne">
    <w:name w:val="Intense Emphasis"/>
    <w:basedOn w:val="Domylnaczcionkaakapitu"/>
    <w:uiPriority w:val="21"/>
    <w:qFormat/>
    <w:rsid w:val="00FF2B3E"/>
    <w:rPr>
      <w:i/>
      <w:iCs/>
      <w:color w:val="0F4761" w:themeColor="accent1" w:themeShade="BF"/>
    </w:rPr>
  </w:style>
  <w:style w:type="paragraph" w:styleId="Cytatintensywny">
    <w:name w:val="Intense Quote"/>
    <w:basedOn w:val="Normalny"/>
    <w:next w:val="Normalny"/>
    <w:link w:val="CytatintensywnyZnak"/>
    <w:uiPriority w:val="30"/>
    <w:qFormat/>
    <w:rsid w:val="00FF2B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F2B3E"/>
    <w:rPr>
      <w:i/>
      <w:iCs/>
      <w:color w:val="0F4761" w:themeColor="accent1" w:themeShade="BF"/>
    </w:rPr>
  </w:style>
  <w:style w:type="character" w:styleId="Odwoanieintensywne">
    <w:name w:val="Intense Reference"/>
    <w:basedOn w:val="Domylnaczcionkaakapitu"/>
    <w:uiPriority w:val="32"/>
    <w:qFormat/>
    <w:rsid w:val="00FF2B3E"/>
    <w:rPr>
      <w:b/>
      <w:bCs/>
      <w:smallCaps/>
      <w:color w:val="0F4761" w:themeColor="accent1" w:themeShade="BF"/>
      <w:spacing w:val="5"/>
    </w:rPr>
  </w:style>
  <w:style w:type="table" w:styleId="Tabela-Siatka">
    <w:name w:val="Table Grid"/>
    <w:basedOn w:val="Standardowy"/>
    <w:uiPriority w:val="39"/>
    <w:rsid w:val="00FF2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862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BB713013-4C87-48DF-8ED7-4620A2908C5F}">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1764</Words>
  <Characters>10585</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KPE</dc:creator>
  <cp:keywords/>
  <dc:description/>
  <cp:lastModifiedBy>KPE</cp:lastModifiedBy>
  <cp:revision>9</cp:revision>
  <dcterms:created xsi:type="dcterms:W3CDTF">2025-07-24T10:47:00Z</dcterms:created>
  <dcterms:modified xsi:type="dcterms:W3CDTF">2025-09-04T19:26:00Z</dcterms:modified>
</cp:coreProperties>
</file>